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spacing w:after="0" w:line="240" w:lineRule="auto"/>
        <w:ind w:left="0"/>
        <w:jc w:val="center"/>
        <w:rPr>
          <w:rFonts w:ascii="Times New Roman" w:hAnsi="Times New Roman"/>
          <w:b/>
          <w:bCs/>
          <w:i/>
          <w:iCs/>
          <w:sz w:val="24"/>
          <w:szCs w:val="24"/>
          <w:lang w:bidi="ar"/>
        </w:rPr>
      </w:pPr>
      <w:bookmarkStart w:id="0" w:name="_Hlk158024289"/>
      <w:r>
        <w:rPr>
          <w:rFonts w:ascii="Times New Roman" w:hAnsi="Times New Roman"/>
          <w:b/>
          <w:bCs/>
          <w:sz w:val="24"/>
          <w:szCs w:val="24"/>
          <w:lang w:val="id-ID"/>
        </w:rPr>
        <w:t>RESPON</w:t>
      </w:r>
      <w:r>
        <w:rPr>
          <w:rFonts w:ascii="Times New Roman" w:hAnsi="Times New Roman"/>
          <w:b/>
          <w:bCs/>
          <w:sz w:val="24"/>
          <w:szCs w:val="24"/>
        </w:rPr>
        <w:t xml:space="preserve"> </w:t>
      </w:r>
      <w:r>
        <w:rPr>
          <w:rFonts w:ascii="Times New Roman" w:hAnsi="Times New Roman"/>
          <w:b/>
          <w:bCs/>
          <w:sz w:val="24"/>
          <w:szCs w:val="24"/>
          <w:lang w:val="id-ID"/>
        </w:rPr>
        <w:t>KOMPOSISI</w:t>
      </w:r>
      <w:r>
        <w:rPr>
          <w:rFonts w:ascii="Times New Roman" w:hAnsi="Times New Roman"/>
          <w:b/>
          <w:bCs/>
          <w:sz w:val="24"/>
          <w:szCs w:val="24"/>
        </w:rPr>
        <w:t xml:space="preserve"> MEDIA </w:t>
      </w:r>
      <w:r>
        <w:rPr>
          <w:rFonts w:ascii="Times New Roman" w:hAnsi="Times New Roman"/>
          <w:b/>
          <w:bCs/>
          <w:sz w:val="24"/>
          <w:szCs w:val="24"/>
          <w:lang w:val="id-ID"/>
        </w:rPr>
        <w:t xml:space="preserve">DAN PANJANG STEK </w:t>
      </w:r>
      <w:r>
        <w:rPr>
          <w:rFonts w:ascii="Times New Roman" w:hAnsi="Times New Roman"/>
          <w:b/>
          <w:bCs/>
          <w:sz w:val="24"/>
          <w:szCs w:val="24"/>
        </w:rPr>
        <w:t xml:space="preserve">TERHADAP PERTUMBUHAN </w:t>
      </w:r>
      <w:r>
        <w:rPr>
          <w:rFonts w:ascii="Times New Roman" w:hAnsi="Times New Roman"/>
          <w:b/>
          <w:bCs/>
          <w:sz w:val="24"/>
          <w:szCs w:val="24"/>
          <w:lang w:val="id-ID"/>
        </w:rPr>
        <w:t>BIBIT</w:t>
      </w:r>
      <w:r>
        <w:rPr>
          <w:rFonts w:ascii="Times New Roman" w:hAnsi="Times New Roman"/>
          <w:b/>
          <w:bCs/>
          <w:sz w:val="24"/>
          <w:szCs w:val="24"/>
        </w:rPr>
        <w:t xml:space="preserve"> </w:t>
      </w:r>
      <w:r>
        <w:rPr>
          <w:rFonts w:ascii="Times New Roman" w:hAnsi="Times New Roman"/>
          <w:b/>
          <w:bCs/>
          <w:sz w:val="24"/>
          <w:szCs w:val="24"/>
          <w:lang w:val="id-ID"/>
        </w:rPr>
        <w:t xml:space="preserve">BOUGENVILLE </w:t>
      </w:r>
      <w:r>
        <w:rPr>
          <w:rFonts w:ascii="Times New Roman" w:hAnsi="Times New Roman"/>
          <w:b/>
          <w:bCs/>
          <w:i/>
          <w:iCs/>
          <w:sz w:val="24"/>
          <w:szCs w:val="24"/>
        </w:rPr>
        <w:t xml:space="preserve"> (</w:t>
      </w:r>
      <w:r>
        <w:rPr>
          <w:rFonts w:ascii="Times New Roman" w:hAnsi="Times New Roman"/>
          <w:b/>
          <w:bCs/>
          <w:i/>
          <w:iCs/>
          <w:sz w:val="24"/>
          <w:szCs w:val="24"/>
          <w:lang w:val="id-ID" w:bidi="ar"/>
        </w:rPr>
        <w:t>Bougenvillea glabra L.</w:t>
      </w:r>
      <w:r>
        <w:rPr>
          <w:rFonts w:ascii="Times New Roman" w:hAnsi="Times New Roman"/>
          <w:b/>
          <w:bCs/>
          <w:i/>
          <w:iCs/>
          <w:sz w:val="24"/>
          <w:szCs w:val="24"/>
          <w:lang w:bidi="ar"/>
        </w:rPr>
        <w:t>)</w:t>
      </w:r>
    </w:p>
    <w:p>
      <w:pPr>
        <w:jc w:val="center"/>
        <w:rPr>
          <w:b/>
          <w:sz w:val="24"/>
          <w:szCs w:val="24"/>
        </w:rPr>
      </w:pPr>
    </w:p>
    <w:p>
      <w:pPr>
        <w:spacing w:after="120"/>
        <w:jc w:val="center"/>
        <w:rPr>
          <w:b/>
        </w:rPr>
      </w:pPr>
      <w:r>
        <w:rPr>
          <w:b/>
          <w:color w:val="000000"/>
          <w:sz w:val="22"/>
          <w:szCs w:val="22"/>
          <w:vertAlign w:val="superscript"/>
        </w:rPr>
        <w:t>1)</w:t>
      </w:r>
      <w:r>
        <w:rPr>
          <w:b/>
          <w:color w:val="000000"/>
          <w:sz w:val="22"/>
          <w:szCs w:val="22"/>
          <w:lang w:val="id-ID"/>
        </w:rPr>
        <w:t>Aprilia Hartanti</w:t>
      </w:r>
      <w:r>
        <w:rPr>
          <w:b/>
          <w:color w:val="000000"/>
          <w:sz w:val="22"/>
          <w:szCs w:val="22"/>
        </w:rPr>
        <w:t>,</w:t>
      </w:r>
      <w:r>
        <w:rPr>
          <w:b/>
          <w:color w:val="000000"/>
          <w:sz w:val="22"/>
          <w:szCs w:val="22"/>
          <w:lang w:val="id-ID"/>
        </w:rPr>
        <w:t xml:space="preserve"> </w:t>
      </w:r>
      <w:r>
        <w:rPr>
          <w:b/>
          <w:color w:val="000000"/>
          <w:sz w:val="22"/>
          <w:szCs w:val="22"/>
          <w:vertAlign w:val="superscript"/>
          <w:lang w:val="id-ID"/>
        </w:rPr>
        <w:t>2)</w:t>
      </w:r>
      <w:r>
        <w:rPr>
          <w:b/>
          <w:color w:val="000000"/>
          <w:sz w:val="22"/>
          <w:szCs w:val="22"/>
          <w:lang w:val="id-ID"/>
        </w:rPr>
        <w:t>Mimik Umi Zuhroh</w:t>
      </w:r>
    </w:p>
    <w:p>
      <w:pPr>
        <w:jc w:val="center"/>
        <w:rPr>
          <w:lang w:val="id-ID"/>
        </w:rPr>
      </w:pPr>
      <w:r>
        <w:rPr>
          <w:vertAlign w:val="superscript"/>
        </w:rPr>
        <w:t>1</w:t>
      </w:r>
      <w:r>
        <w:t xml:space="preserve">Program Studi </w:t>
      </w:r>
      <w:r>
        <w:rPr>
          <w:lang w:val="id-ID"/>
        </w:rPr>
        <w:t xml:space="preserve"> </w:t>
      </w:r>
      <w:r>
        <w:t xml:space="preserve">Agroteknologi, Fakultas Pertanian </w:t>
      </w:r>
      <w:r>
        <w:rPr>
          <w:lang w:val="id-ID"/>
        </w:rPr>
        <w:t>Universitas Panca Marga Probolinggo</w:t>
      </w:r>
    </w:p>
    <w:p>
      <w:pPr>
        <w:jc w:val="center"/>
        <w:rPr>
          <w:lang w:val="id-ID"/>
        </w:rPr>
      </w:pPr>
      <w:r>
        <w:rPr>
          <w:vertAlign w:val="superscript"/>
        </w:rPr>
        <w:t>2</w:t>
      </w:r>
      <w:r>
        <w:t xml:space="preserve">Program Studi </w:t>
      </w:r>
      <w:r>
        <w:rPr>
          <w:lang w:val="id-ID"/>
        </w:rPr>
        <w:t xml:space="preserve"> Agribisnis</w:t>
      </w:r>
      <w:r>
        <w:t xml:space="preserve">, Fakultas </w:t>
      </w:r>
      <w:r>
        <w:rPr>
          <w:lang w:val="id-ID"/>
        </w:rPr>
        <w:t>Pertanian Universitas Panca Marga Probolinggo</w:t>
      </w:r>
    </w:p>
    <w:p>
      <w:pPr>
        <w:jc w:val="center"/>
        <w:rPr>
          <w:lang w:val="id-ID"/>
        </w:rPr>
      </w:pPr>
    </w:p>
    <w:p>
      <w:pPr>
        <w:jc w:val="center"/>
      </w:pPr>
      <w:r>
        <w:rPr>
          <w:vertAlign w:val="superscript"/>
        </w:rPr>
        <w:t>1</w:t>
      </w:r>
      <w:r>
        <w:t xml:space="preserve">Email: </w:t>
      </w:r>
      <w:r>
        <w:fldChar w:fldCharType="begin"/>
      </w:r>
      <w:r>
        <w:instrText xml:space="preserve"> HYPERLINK "mailto:apriliahartanti@up.ac.id" </w:instrText>
      </w:r>
      <w:r>
        <w:fldChar w:fldCharType="separate"/>
      </w:r>
      <w:r>
        <w:rPr>
          <w:rStyle w:val="29"/>
          <w:lang w:val="id-ID"/>
        </w:rPr>
        <w:t>apriliahartanti@up</w:t>
      </w:r>
      <w:r>
        <w:rPr>
          <w:rStyle w:val="29"/>
        </w:rPr>
        <w:t>.ac.id</w:t>
      </w:r>
      <w:r>
        <w:rPr>
          <w:rStyle w:val="29"/>
        </w:rPr>
        <w:fldChar w:fldCharType="end"/>
      </w:r>
      <w:r>
        <w:t xml:space="preserve"> </w:t>
      </w:r>
    </w:p>
    <w:p>
      <w:pPr>
        <w:rPr>
          <w:rFonts w:ascii="Cambria" w:hAnsi="Cambria" w:eastAsia="Cambria" w:cs="Cambria"/>
          <w:sz w:val="24"/>
          <w:szCs w:val="24"/>
        </w:rPr>
      </w:pPr>
    </w:p>
    <w:p>
      <w:pPr>
        <w:spacing w:after="120"/>
        <w:jc w:val="center"/>
        <w:rPr>
          <w:b/>
          <w:sz w:val="22"/>
          <w:szCs w:val="22"/>
        </w:rPr>
      </w:pPr>
      <w:r>
        <w:rPr>
          <w:b/>
          <w:sz w:val="22"/>
          <w:szCs w:val="22"/>
        </w:rPr>
        <w:t xml:space="preserve">ABSTRAK </w:t>
      </w:r>
    </w:p>
    <w:p>
      <w:pPr>
        <w:jc w:val="both"/>
        <w:rPr>
          <w:rFonts w:ascii="Arial" w:hAnsi="Arial" w:cs="Arial"/>
          <w:lang w:val="id-ID"/>
        </w:rPr>
      </w:pPr>
      <w:r>
        <w:rPr>
          <w:rFonts w:ascii="Arial" w:hAnsi="Arial" w:cs="Arial"/>
          <w:lang w:val="id-ID"/>
        </w:rPr>
        <w:t>B</w:t>
      </w:r>
      <w:r>
        <w:rPr>
          <w:rFonts w:ascii="Arial" w:hAnsi="Arial" w:cs="Arial"/>
        </w:rPr>
        <w:t>ougenville cukup populer bagi pecinta tanaman hias</w:t>
      </w:r>
      <w:r>
        <w:rPr>
          <w:rFonts w:ascii="Arial" w:hAnsi="Arial" w:cs="Arial"/>
          <w:lang w:val="id-ID"/>
        </w:rPr>
        <w:t xml:space="preserve">. </w:t>
      </w:r>
      <w:r>
        <w:rPr>
          <w:rFonts w:ascii="Arial" w:hAnsi="Arial" w:cs="Arial"/>
        </w:rPr>
        <w:t xml:space="preserve">Daya tarik tanaman </w:t>
      </w:r>
      <w:r>
        <w:rPr>
          <w:rFonts w:ascii="Arial" w:hAnsi="Arial" w:cs="Arial"/>
          <w:lang w:val="id-ID"/>
        </w:rPr>
        <w:t>bougenvile</w:t>
      </w:r>
      <w:r>
        <w:rPr>
          <w:rFonts w:ascii="Arial" w:hAnsi="Arial" w:cs="Arial"/>
        </w:rPr>
        <w:t xml:space="preserve"> ada di seludang bunga dengan corak warna cerah dan beragam sehingga banyak masyarakat yang tertarik menanam dan membudidayakannya</w:t>
      </w:r>
      <w:r>
        <w:rPr>
          <w:rFonts w:ascii="Arial" w:hAnsi="Arial" w:cs="Arial"/>
          <w:lang w:val="id-ID"/>
        </w:rPr>
        <w:t>. Pembiakan tanaman Bougenville dapat dilakukan dengan dua cara yaitu secara generatif dan secara vegetatif buatan. Pembiakan secara vegetatif buatan yang paling sederhana dan mudah dilakukan adalah dengan stek batang. Perbanyakan tanaman menggunakan sistem stek merupakan perbanyakan tanaman menghasilkan sifat yang sama dengan induknya. Peran media tanam yang tepat akan membantu tanaman untuk tumbuh dan membentuk kalus atau calon akar. Komposisi media tanaman yang mengandung hara cukup dan mempunyai pororsitas tinggi merupakan kondisi yang sesuai untuk perbanyakan sistem stek ini. Tujuan dari penelitian ini adalah untuk : 1). mengetahui pengaruh komposisi media tanam terhadap pertumbuhan stek tanaman bougenville; 2). Mengetahui pengaruh panjang stek terhadap pertumbuhan bibit bougenvile; 3). Mengetahui interaksi yang terjadi antara komposisi media tanam dan panjang stek terhadap pertumbuhan bibit bougenville.Metodologi rancangan percobaan menggunakan Rancangan acak Kelompok Lengkap faktorial dengan faktor 1 adalah komposisi media tanam yang terdiri dari 3 taraf yaitu K0 (tanah); K1 (tanah : kompos = 1 : 1); K2 (tanah : kompos : arang sekam = 1 : 1 : 1). Faktor ke 2 yaitu P1 (panjang stek 15 cm), P2 (panjang stek 20 cm), P3 (panjang stek 25 cm), P4 (panjang stek 30 cm). Hasil penelitian diketahui bahwa komposisi media tanam berpengaruh nyata pada parameter hari tumbuh tunas,jumlah dan panjang tunas, jumlah daun dan akar, panjang akar dan prosentase bibit jadi. Panjang stek berpengaruh nyata pada hari muncul tunas, jumlah tunas, jumlah daun dan akar serta panjang akar. Interaksi menunjukkan pengaruh positif terhadap hari muncul tunas, jumlah daun, panjang akar dan prosentase bibit jadi.</w:t>
      </w:r>
    </w:p>
    <w:p>
      <w:pPr>
        <w:rPr>
          <w:lang w:val="id-ID"/>
        </w:rPr>
      </w:pPr>
    </w:p>
    <w:p>
      <w:pPr>
        <w:spacing w:after="120"/>
        <w:jc w:val="both"/>
        <w:rPr>
          <w:color w:val="000000"/>
          <w:sz w:val="22"/>
          <w:szCs w:val="22"/>
        </w:rPr>
      </w:pPr>
      <w:r>
        <w:rPr>
          <w:b/>
          <w:color w:val="000000"/>
          <w:sz w:val="22"/>
          <w:szCs w:val="22"/>
        </w:rPr>
        <w:t>Kata Kunci</w:t>
      </w:r>
      <w:r>
        <w:rPr>
          <w:color w:val="000000"/>
          <w:sz w:val="22"/>
          <w:szCs w:val="22"/>
        </w:rPr>
        <w:t xml:space="preserve"> : </w:t>
      </w:r>
      <w:r>
        <w:rPr>
          <w:sz w:val="22"/>
          <w:szCs w:val="22"/>
          <w:lang w:val="id-ID"/>
        </w:rPr>
        <w:t>komposisi media, stek, bougenville</w:t>
      </w:r>
      <w:r>
        <w:rPr>
          <w:color w:val="000000"/>
          <w:sz w:val="22"/>
          <w:szCs w:val="22"/>
        </w:rPr>
        <w:t xml:space="preserve"> </w:t>
      </w:r>
    </w:p>
    <w:p>
      <w:pPr>
        <w:rPr>
          <w:sz w:val="22"/>
          <w:szCs w:val="22"/>
        </w:rPr>
      </w:pPr>
    </w:p>
    <w:p>
      <w:pPr>
        <w:spacing w:after="120"/>
        <w:jc w:val="center"/>
        <w:rPr>
          <w:b/>
          <w:i/>
          <w:sz w:val="22"/>
          <w:szCs w:val="22"/>
        </w:rPr>
      </w:pPr>
      <w:r>
        <w:rPr>
          <w:b/>
          <w:i/>
          <w:sz w:val="22"/>
          <w:szCs w:val="22"/>
        </w:rPr>
        <w:t xml:space="preserve">ABSTRACT </w:t>
      </w:r>
    </w:p>
    <w:p>
      <w:pPr>
        <w:spacing w:after="120"/>
        <w:jc w:val="both"/>
        <w:rPr>
          <w:bCs/>
          <w:sz w:val="22"/>
          <w:szCs w:val="22"/>
        </w:rPr>
      </w:pPr>
      <w:r>
        <w:rPr>
          <w:rFonts w:ascii="Arial" w:hAnsi="Arial" w:cs="Arial"/>
          <w:lang w:val="id-ID"/>
        </w:rPr>
        <w:t>B</w:t>
      </w:r>
      <w:r>
        <w:rPr>
          <w:rFonts w:ascii="Arial" w:hAnsi="Arial" w:cs="Arial"/>
        </w:rPr>
        <w:t xml:space="preserve">ougainvillea Enough popular for lovers plant decoration </w:t>
      </w:r>
      <w:r>
        <w:rPr>
          <w:rFonts w:ascii="Arial" w:hAnsi="Arial" w:cs="Arial"/>
          <w:lang w:val="id-ID"/>
        </w:rPr>
        <w:t xml:space="preserve">. </w:t>
      </w:r>
      <w:r>
        <w:rPr>
          <w:rFonts w:ascii="Arial" w:hAnsi="Arial" w:cs="Arial"/>
        </w:rPr>
        <w:t xml:space="preserve">Power pull plant </w:t>
      </w:r>
      <w:r>
        <w:rPr>
          <w:rFonts w:ascii="Arial" w:hAnsi="Arial" w:cs="Arial"/>
          <w:lang w:val="id-ID"/>
        </w:rPr>
        <w:t>bougainvillea</w:t>
      </w:r>
      <w:r>
        <w:rPr>
          <w:rFonts w:ascii="Arial" w:hAnsi="Arial" w:cs="Arial"/>
        </w:rPr>
        <w:t xml:space="preserve"> there in the sheath flower with pattern color bright And diverse so that Lots interested community​ plant And cultivate it </w:t>
      </w:r>
      <w:r>
        <w:rPr>
          <w:rFonts w:ascii="Arial" w:hAnsi="Arial" w:cs="Arial"/>
          <w:lang w:val="id-ID"/>
        </w:rPr>
        <w:t>. Bougainvillea plant propagation can be done in two ways, namely generatively and artificially vegetatively. The simplest and easiest artificial vegetative propagation is by stem cuttings. Plant propagation using the cutting system is a plant propagation that produces the same characteristics as its parent. The role of the right planting media will help plants to grow and form callus or potential roots. The composition of the plant media that contains sufficient nutrients and has high porosity is a suitable condition for this cutting system propagation. The purpose of this study was to: 1). determine the effect of planting media composition on the growth of bougainvillea plant cuttings; 2). Determine the effect of cutting length on the growth of bougainvillea seedlings; 3). Determine the interaction that occurs between the composition of the planting media and the length of the cuttings on the growth of bougainvillea seedlings. The experimental design methodology used a Complete Randomized Block Design factorial with factor 1 being the composition of the planting media consisting of 3 levels, namely K0 (soil); K1 (soil: compost = 1: 1); K2 (soil: compost: rice husk charcoal = 1: 1: 1). The second factor is P1 (cutting length 15 cm), P2 (cutting length 20 cm), P3 (cutting length 25 cm), P4 (cutting length 30 cm). The results of the study showed that the composition of the planting media had a significant effect on the parameters of shoot growth days, number and length of shoots, number of leaves and roots, root length and percentage of finished seedlings. The length of the cutting had a significant effect on the day of shoot emergence, number of shoots, number of leaves and roots and root length. The interaction showed a positive effect on the day of shoot emergence, number of leaves, root length and percentage of finished seedlings.</w:t>
      </w:r>
      <w:r>
        <w:rPr>
          <w:i/>
          <w:iCs/>
          <w:color w:val="000000"/>
          <w:sz w:val="22"/>
          <w:szCs w:val="22"/>
          <w:lang w:val="id-ID"/>
        </w:rPr>
        <w:t xml:space="preserve"> </w:t>
      </w:r>
    </w:p>
    <w:p>
      <w:pPr>
        <w:spacing w:after="120"/>
        <w:jc w:val="both"/>
        <w:rPr>
          <w:i/>
          <w:sz w:val="22"/>
          <w:szCs w:val="22"/>
        </w:rPr>
      </w:pPr>
      <w:r>
        <w:rPr>
          <w:b/>
          <w:i/>
          <w:sz w:val="22"/>
          <w:szCs w:val="22"/>
        </w:rPr>
        <w:t>Keywords:</w:t>
      </w:r>
      <w:r>
        <w:rPr>
          <w:i/>
          <w:sz w:val="22"/>
          <w:szCs w:val="22"/>
        </w:rPr>
        <w:t xml:space="preserve"> </w:t>
      </w:r>
      <w:r>
        <w:rPr>
          <w:rFonts w:ascii="Arial" w:hAnsi="Arial" w:cs="Arial"/>
          <w:lang w:val="id-ID"/>
        </w:rPr>
        <w:t>composition of the planting media, cuttings, Bougainville</w:t>
      </w:r>
    </w:p>
    <w:p>
      <w:pPr>
        <w:spacing w:after="120"/>
        <w:rPr>
          <w:i/>
          <w:sz w:val="22"/>
          <w:szCs w:val="22"/>
        </w:rPr>
      </w:pPr>
    </w:p>
    <w:p>
      <w:pPr>
        <w:spacing w:after="120" w:line="360" w:lineRule="auto"/>
        <w:rPr>
          <w:b/>
          <w:sz w:val="22"/>
          <w:szCs w:val="22"/>
          <w:lang w:val="id-ID"/>
        </w:rPr>
      </w:pPr>
      <w:bookmarkStart w:id="1" w:name="_heading=h.gjdgxs" w:colFirst="0" w:colLast="0"/>
      <w:bookmarkEnd w:id="1"/>
      <w:r>
        <w:rPr>
          <w:b/>
          <w:sz w:val="22"/>
          <w:szCs w:val="22"/>
        </w:rPr>
        <w:t xml:space="preserve">PENDAHULUAN </w:t>
      </w:r>
    </w:p>
    <w:p>
      <w:pPr>
        <w:spacing w:line="360" w:lineRule="auto"/>
        <w:jc w:val="both"/>
        <w:rPr>
          <w:sz w:val="22"/>
          <w:szCs w:val="22"/>
        </w:rPr>
      </w:pPr>
      <w:r>
        <w:rPr>
          <w:sz w:val="22"/>
          <w:szCs w:val="22"/>
          <w:lang w:val="id-ID"/>
        </w:rPr>
        <w:tab/>
      </w:r>
      <w:r>
        <w:rPr>
          <w:sz w:val="22"/>
          <w:szCs w:val="22"/>
        </w:rPr>
        <w:t>Bougenville atau bunga kertas merupakan salah satu tanaman hias populer. Perbanyakan Tanaman bunga bougenville dapat dilakukan dengan perbanyakan secara generatif maupun vegetatif, Namun demikian, perbanyakan vegetatif dengan cara stek batang lebih banyak dipilih untuk mempercepat pertumbuhan dan perkembangan tanaman bougenville.</w:t>
      </w:r>
      <w:r>
        <w:rPr>
          <w:sz w:val="22"/>
          <w:szCs w:val="22"/>
          <w:lang w:val="id-ID"/>
        </w:rPr>
        <w:t xml:space="preserve"> </w:t>
      </w:r>
      <w:r>
        <w:rPr>
          <w:sz w:val="22"/>
          <w:szCs w:val="22"/>
        </w:rPr>
        <w:t>Ada berbagai macam stek dan penanamannya pada umumnya berdasarkan bagian tanaman yang akan digunakan sebagai bahan stek.  Stek batang merupakan teknik</w:t>
      </w:r>
      <w:r>
        <w:rPr>
          <w:sz w:val="22"/>
          <w:szCs w:val="22"/>
          <w:lang w:val="id-ID"/>
        </w:rPr>
        <w:t xml:space="preserve"> </w:t>
      </w:r>
      <w:r>
        <w:rPr>
          <w:sz w:val="22"/>
          <w:szCs w:val="22"/>
        </w:rPr>
        <w:t>perbanyakan secara vegetatif yang dilakukan</w:t>
      </w:r>
      <w:r>
        <w:rPr>
          <w:sz w:val="22"/>
          <w:szCs w:val="22"/>
          <w:lang w:val="id-ID"/>
        </w:rPr>
        <w:t xml:space="preserve"> </w:t>
      </w:r>
      <w:r>
        <w:rPr>
          <w:sz w:val="22"/>
          <w:szCs w:val="22"/>
        </w:rPr>
        <w:t>dengan memotong bagian batang dari induk</w:t>
      </w:r>
      <w:r>
        <w:rPr>
          <w:sz w:val="22"/>
          <w:szCs w:val="22"/>
          <w:lang w:val="id-ID"/>
        </w:rPr>
        <w:t xml:space="preserve"> </w:t>
      </w:r>
      <w:r>
        <w:rPr>
          <w:sz w:val="22"/>
          <w:szCs w:val="22"/>
        </w:rPr>
        <w:t xml:space="preserve">tanaman </w:t>
      </w:r>
      <w:bookmarkStart w:id="2" w:name="_Hlk186119166"/>
      <w:r>
        <w:rPr>
          <w:sz w:val="22"/>
          <w:szCs w:val="22"/>
        </w:rPr>
        <w:t>(Muslimawati et al., 2015)</w:t>
      </w:r>
      <w:bookmarkEnd w:id="2"/>
      <w:r>
        <w:rPr>
          <w:sz w:val="22"/>
          <w:szCs w:val="22"/>
        </w:rPr>
        <w:t>. Stek batang</w:t>
      </w:r>
      <w:r>
        <w:rPr>
          <w:sz w:val="22"/>
          <w:szCs w:val="22"/>
          <w:lang w:val="id-ID"/>
        </w:rPr>
        <w:t xml:space="preserve"> </w:t>
      </w:r>
      <w:r>
        <w:rPr>
          <w:sz w:val="22"/>
          <w:szCs w:val="22"/>
        </w:rPr>
        <w:t>merupakan cara yang sederhana, mudah dan cepat</w:t>
      </w:r>
      <w:r>
        <w:rPr>
          <w:sz w:val="22"/>
          <w:szCs w:val="22"/>
          <w:lang w:val="id-ID"/>
        </w:rPr>
        <w:t xml:space="preserve"> </w:t>
      </w:r>
      <w:r>
        <w:rPr>
          <w:sz w:val="22"/>
          <w:szCs w:val="22"/>
        </w:rPr>
        <w:t>untuk mendapatkan individu baru yang memiliki</w:t>
      </w:r>
      <w:r>
        <w:rPr>
          <w:sz w:val="22"/>
          <w:szCs w:val="22"/>
          <w:lang w:val="id-ID"/>
        </w:rPr>
        <w:t xml:space="preserve"> </w:t>
      </w:r>
      <w:r>
        <w:rPr>
          <w:sz w:val="22"/>
          <w:szCs w:val="22"/>
        </w:rPr>
        <w:t xml:space="preserve">sifat sama seperti induknya </w:t>
      </w:r>
      <w:bookmarkStart w:id="3" w:name="_Hlk186119195"/>
      <w:r>
        <w:rPr>
          <w:sz w:val="22"/>
          <w:szCs w:val="22"/>
        </w:rPr>
        <w:t>(Febriani et al., 2015)</w:t>
      </w:r>
      <w:bookmarkEnd w:id="3"/>
      <w:r>
        <w:rPr>
          <w:sz w:val="22"/>
          <w:szCs w:val="22"/>
        </w:rPr>
        <w:t>. Penyetekan merupakan suatu perlakuan pemisahan, pemotongan beberapa tanaman seperti akar, batang, daun dan tunas. Umumnya stek batang digunakan sebagai material yang menguntungkan, sebab batang mempunyai persediaan makanan yang cukup terhadap tunas-tunas batang dan akar.</w:t>
      </w:r>
    </w:p>
    <w:p>
      <w:pPr>
        <w:widowControl w:val="0"/>
        <w:tabs>
          <w:tab w:val="left" w:pos="426"/>
        </w:tabs>
        <w:autoSpaceDE w:val="0"/>
        <w:autoSpaceDN w:val="0"/>
        <w:adjustRightInd w:val="0"/>
        <w:spacing w:line="360" w:lineRule="auto"/>
        <w:ind w:firstLine="567"/>
        <w:jc w:val="both"/>
        <w:rPr>
          <w:sz w:val="22"/>
          <w:szCs w:val="22"/>
        </w:rPr>
      </w:pPr>
      <w:r>
        <w:rPr>
          <w:sz w:val="22"/>
          <w:szCs w:val="22"/>
        </w:rPr>
        <w:t>Media tanam adalah suatu media atau bahan yang digunakan untuk tempat tumbuh dan berkembangnya akar tanaman. Media tanam merupakan salah satu factor</w:t>
      </w:r>
      <w:r>
        <w:rPr>
          <w:sz w:val="22"/>
          <w:szCs w:val="22"/>
          <w:lang w:val="id-ID"/>
        </w:rPr>
        <w:t xml:space="preserve"> </w:t>
      </w:r>
      <w:r>
        <w:rPr>
          <w:sz w:val="22"/>
          <w:szCs w:val="22"/>
        </w:rPr>
        <w:t>lingkungan yang mempengaruhi pembentukan</w:t>
      </w:r>
      <w:r>
        <w:rPr>
          <w:sz w:val="22"/>
          <w:szCs w:val="22"/>
          <w:lang w:val="id-ID"/>
        </w:rPr>
        <w:t xml:space="preserve"> </w:t>
      </w:r>
      <w:r>
        <w:rPr>
          <w:sz w:val="22"/>
          <w:szCs w:val="22"/>
        </w:rPr>
        <w:t>akar sehingga media tanam hendaknya harus</w:t>
      </w:r>
      <w:r>
        <w:rPr>
          <w:sz w:val="22"/>
          <w:szCs w:val="22"/>
          <w:lang w:val="id-ID"/>
        </w:rPr>
        <w:t xml:space="preserve"> </w:t>
      </w:r>
      <w:r>
        <w:rPr>
          <w:sz w:val="22"/>
          <w:szCs w:val="22"/>
        </w:rPr>
        <w:t>memiliki kandungan unsur hara yang lengkap,</w:t>
      </w:r>
    </w:p>
    <w:p>
      <w:pPr>
        <w:widowControl w:val="0"/>
        <w:tabs>
          <w:tab w:val="left" w:pos="1134"/>
        </w:tabs>
        <w:autoSpaceDE w:val="0"/>
        <w:autoSpaceDN w:val="0"/>
        <w:adjustRightInd w:val="0"/>
        <w:spacing w:line="360" w:lineRule="auto"/>
        <w:jc w:val="both"/>
        <w:rPr>
          <w:sz w:val="22"/>
          <w:szCs w:val="22"/>
        </w:rPr>
      </w:pPr>
      <w:r>
        <w:rPr>
          <w:sz w:val="22"/>
          <w:szCs w:val="22"/>
        </w:rPr>
        <w:t>dapat menahan air, menjaga kelembaban tanah,</w:t>
      </w:r>
      <w:r>
        <w:rPr>
          <w:sz w:val="22"/>
          <w:szCs w:val="22"/>
          <w:lang w:val="id-ID"/>
        </w:rPr>
        <w:t xml:space="preserve"> </w:t>
      </w:r>
      <w:r>
        <w:rPr>
          <w:sz w:val="22"/>
          <w:szCs w:val="22"/>
        </w:rPr>
        <w:t>mempunyai aerasi yang baik dan bebas dari jamur</w:t>
      </w:r>
      <w:r>
        <w:rPr>
          <w:sz w:val="22"/>
          <w:szCs w:val="22"/>
          <w:lang w:val="id-ID"/>
        </w:rPr>
        <w:t xml:space="preserve"> </w:t>
      </w:r>
      <w:r>
        <w:rPr>
          <w:sz w:val="22"/>
          <w:szCs w:val="22"/>
        </w:rPr>
        <w:t>serta pathogen yang dapat mengganggu</w:t>
      </w:r>
      <w:r>
        <w:rPr>
          <w:sz w:val="22"/>
          <w:szCs w:val="22"/>
          <w:lang w:val="id-ID"/>
        </w:rPr>
        <w:t xml:space="preserve"> </w:t>
      </w:r>
      <w:r>
        <w:rPr>
          <w:sz w:val="22"/>
          <w:szCs w:val="22"/>
        </w:rPr>
        <w:t>pertumbuhan stek (Danu et al., 2011). Media</w:t>
      </w:r>
      <w:r>
        <w:rPr>
          <w:sz w:val="22"/>
          <w:szCs w:val="22"/>
          <w:lang w:val="id-ID"/>
        </w:rPr>
        <w:t xml:space="preserve"> </w:t>
      </w:r>
      <w:r>
        <w:rPr>
          <w:sz w:val="22"/>
          <w:szCs w:val="22"/>
        </w:rPr>
        <w:t>tanam berpengaruh terhadap pertumbuhan stek</w:t>
      </w:r>
      <w:r>
        <w:rPr>
          <w:sz w:val="22"/>
          <w:szCs w:val="22"/>
          <w:lang w:val="id-ID"/>
        </w:rPr>
        <w:t xml:space="preserve"> </w:t>
      </w:r>
      <w:r>
        <w:rPr>
          <w:sz w:val="22"/>
          <w:szCs w:val="22"/>
        </w:rPr>
        <w:t>karena media tanam memberikan unsur hara,</w:t>
      </w:r>
      <w:r>
        <w:rPr>
          <w:sz w:val="22"/>
          <w:szCs w:val="22"/>
          <w:lang w:val="id-ID"/>
        </w:rPr>
        <w:t xml:space="preserve"> </w:t>
      </w:r>
      <w:r>
        <w:rPr>
          <w:sz w:val="22"/>
          <w:szCs w:val="22"/>
        </w:rPr>
        <w:t>kelembaban dan aerasi serta drainase yang lebih</w:t>
      </w:r>
      <w:r>
        <w:rPr>
          <w:sz w:val="22"/>
          <w:szCs w:val="22"/>
          <w:lang w:val="id-ID"/>
        </w:rPr>
        <w:t xml:space="preserve"> </w:t>
      </w:r>
      <w:r>
        <w:rPr>
          <w:sz w:val="22"/>
          <w:szCs w:val="22"/>
        </w:rPr>
        <w:t>baik sehingga dapat menopang pertumbuhan stek</w:t>
      </w:r>
      <w:r>
        <w:rPr>
          <w:sz w:val="22"/>
          <w:szCs w:val="22"/>
          <w:lang w:val="id-ID"/>
        </w:rPr>
        <w:t xml:space="preserve"> </w:t>
      </w:r>
      <w:bookmarkStart w:id="4" w:name="_Hlk186119268"/>
      <w:r>
        <w:rPr>
          <w:sz w:val="22"/>
          <w:szCs w:val="22"/>
        </w:rPr>
        <w:t>(Mahfudz et al., 2006)</w:t>
      </w:r>
      <w:bookmarkEnd w:id="4"/>
      <w:r>
        <w:rPr>
          <w:sz w:val="22"/>
          <w:szCs w:val="22"/>
        </w:rPr>
        <w:t xml:space="preserve">. </w:t>
      </w:r>
    </w:p>
    <w:p>
      <w:pPr>
        <w:widowControl w:val="0"/>
        <w:tabs>
          <w:tab w:val="left" w:pos="1134"/>
        </w:tabs>
        <w:autoSpaceDE w:val="0"/>
        <w:autoSpaceDN w:val="0"/>
        <w:adjustRightInd w:val="0"/>
        <w:spacing w:line="360" w:lineRule="auto"/>
        <w:jc w:val="both"/>
        <w:rPr>
          <w:sz w:val="22"/>
          <w:szCs w:val="22"/>
          <w:lang w:val="id-ID"/>
        </w:rPr>
      </w:pPr>
      <w:r>
        <w:rPr>
          <w:sz w:val="22"/>
          <w:szCs w:val="22"/>
        </w:rPr>
        <w:tab/>
      </w:r>
      <w:r>
        <w:rPr>
          <w:sz w:val="22"/>
          <w:szCs w:val="22"/>
          <w:lang w:val="id-ID"/>
        </w:rPr>
        <w:t xml:space="preserve">Pertumbuhan stek batang selain dipengaruhi oleh komposisi media tanam yang digunakan,  panjang bahan stek juga turut mempengaruhi. Komposisi media tanam yang tepat berperan dalam pertumbuhan akar dan daun setelah stek berhasil tumbuh. Hasil penelitian </w:t>
      </w:r>
      <w:bookmarkStart w:id="5" w:name="_Hlk186119293"/>
      <w:r>
        <w:rPr>
          <w:sz w:val="22"/>
          <w:szCs w:val="22"/>
          <w:lang w:val="id-ID"/>
        </w:rPr>
        <w:t>Astiko et al., (2018)</w:t>
      </w:r>
      <w:bookmarkEnd w:id="5"/>
      <w:r>
        <w:rPr>
          <w:sz w:val="22"/>
          <w:szCs w:val="22"/>
          <w:lang w:val="id-ID"/>
        </w:rPr>
        <w:t xml:space="preserve"> menunjukkan jumlah tunas, jumlah daun, jumlah akar, dan panjang akar tanaman lamtoro dipengaruhi oleh</w:t>
      </w:r>
    </w:p>
    <w:p>
      <w:pPr>
        <w:widowControl w:val="0"/>
        <w:tabs>
          <w:tab w:val="left" w:pos="1134"/>
        </w:tabs>
        <w:autoSpaceDE w:val="0"/>
        <w:autoSpaceDN w:val="0"/>
        <w:adjustRightInd w:val="0"/>
        <w:spacing w:line="360" w:lineRule="auto"/>
        <w:jc w:val="both"/>
        <w:rPr>
          <w:sz w:val="22"/>
          <w:szCs w:val="22"/>
          <w:lang w:val="id-ID"/>
        </w:rPr>
      </w:pPr>
      <w:r>
        <w:rPr>
          <w:sz w:val="22"/>
          <w:szCs w:val="22"/>
          <w:lang w:val="id-ID"/>
        </w:rPr>
        <w:t>faktor-faktor seperti ukuran panjang dan diameter stek batang.Penelitian ini bertujuan untuk mengkaji respon komposisi media tanam dan panjang stek terhadap pertumbuhan bibit Bougenville</w:t>
      </w:r>
    </w:p>
    <w:p>
      <w:pPr>
        <w:widowControl w:val="0"/>
        <w:tabs>
          <w:tab w:val="left" w:pos="1134"/>
        </w:tabs>
        <w:autoSpaceDE w:val="0"/>
        <w:autoSpaceDN w:val="0"/>
        <w:adjustRightInd w:val="0"/>
        <w:spacing w:line="360" w:lineRule="auto"/>
        <w:jc w:val="both"/>
        <w:rPr>
          <w:sz w:val="22"/>
          <w:szCs w:val="22"/>
          <w:lang w:val="id-ID"/>
        </w:rPr>
      </w:pPr>
    </w:p>
    <w:p>
      <w:pPr>
        <w:widowControl w:val="0"/>
        <w:tabs>
          <w:tab w:val="left" w:pos="1134"/>
        </w:tabs>
        <w:autoSpaceDE w:val="0"/>
        <w:autoSpaceDN w:val="0"/>
        <w:adjustRightInd w:val="0"/>
        <w:spacing w:line="360" w:lineRule="auto"/>
        <w:jc w:val="both"/>
        <w:rPr>
          <w:sz w:val="22"/>
          <w:szCs w:val="22"/>
        </w:rPr>
      </w:pPr>
    </w:p>
    <w:p>
      <w:pPr>
        <w:spacing w:line="360" w:lineRule="auto"/>
        <w:jc w:val="both"/>
        <w:rPr>
          <w:b/>
          <w:sz w:val="22"/>
          <w:szCs w:val="22"/>
        </w:rPr>
      </w:pPr>
    </w:p>
    <w:p>
      <w:pPr>
        <w:spacing w:line="360" w:lineRule="auto"/>
        <w:jc w:val="both"/>
        <w:rPr>
          <w:b/>
          <w:sz w:val="22"/>
          <w:szCs w:val="22"/>
        </w:rPr>
      </w:pPr>
    </w:p>
    <w:p>
      <w:pPr>
        <w:spacing w:line="360" w:lineRule="auto"/>
        <w:jc w:val="both"/>
        <w:rPr>
          <w:bCs/>
          <w:sz w:val="22"/>
          <w:szCs w:val="22"/>
          <w:lang w:val="id-ID"/>
        </w:rPr>
      </w:pPr>
      <w:r>
        <w:rPr>
          <w:b/>
          <w:sz w:val="22"/>
          <w:szCs w:val="22"/>
        </w:rPr>
        <w:t>METODOLOGI</w:t>
      </w:r>
    </w:p>
    <w:p>
      <w:pPr>
        <w:tabs>
          <w:tab w:val="left" w:pos="567"/>
        </w:tabs>
        <w:spacing w:line="360" w:lineRule="auto"/>
        <w:jc w:val="both"/>
        <w:rPr>
          <w:color w:val="202122"/>
          <w:sz w:val="22"/>
          <w:szCs w:val="22"/>
          <w:shd w:val="clear" w:color="auto" w:fill="FFFFFF"/>
          <w:lang w:val="id-ID"/>
        </w:rPr>
      </w:pPr>
      <w:r>
        <w:rPr>
          <w:bCs/>
          <w:sz w:val="22"/>
          <w:szCs w:val="22"/>
        </w:rPr>
        <w:tab/>
      </w:r>
      <w:r>
        <w:rPr>
          <w:sz w:val="22"/>
          <w:szCs w:val="22"/>
          <w:lang w:val="id-ID"/>
        </w:rPr>
        <w:t xml:space="preserve">Penelitian dilaksanakan di Jl. Serma Abdurahaman no. 56 Kelurahan Wiroborang Kecamatan Mayangan dengan ketinggian tempat 5 m dpl. Penelitian dilakukan pada bulan Mei 2024 sampai Agustus 2024. </w:t>
      </w:r>
      <w:r>
        <w:rPr>
          <w:color w:val="202122"/>
          <w:sz w:val="22"/>
          <w:szCs w:val="22"/>
          <w:shd w:val="clear" w:color="auto" w:fill="FFFFFF"/>
        </w:rPr>
        <w:t> </w:t>
      </w:r>
      <w:r>
        <w:rPr>
          <w:color w:val="202122"/>
          <w:sz w:val="22"/>
          <w:szCs w:val="22"/>
          <w:shd w:val="clear" w:color="auto" w:fill="FFFFFF"/>
          <w:lang w:val="id-ID"/>
        </w:rPr>
        <w:t>Ra</w:t>
      </w:r>
      <w:r>
        <w:rPr>
          <w:color w:val="202122"/>
          <w:sz w:val="22"/>
          <w:szCs w:val="22"/>
          <w:shd w:val="clear" w:color="auto" w:fill="FFFFFF"/>
        </w:rPr>
        <w:t>ta-rata curah hujan mencapai + 961 millimeter</w:t>
      </w:r>
      <w:r>
        <w:rPr>
          <w:color w:val="202122"/>
          <w:sz w:val="22"/>
          <w:szCs w:val="22"/>
          <w:shd w:val="clear" w:color="auto" w:fill="FFFFFF"/>
          <w:lang w:val="id-ID"/>
        </w:rPr>
        <w:t>/th</w:t>
      </w:r>
      <w:r>
        <w:rPr>
          <w:color w:val="202122"/>
          <w:sz w:val="22"/>
          <w:szCs w:val="22"/>
          <w:shd w:val="clear" w:color="auto" w:fill="FFFFFF"/>
        </w:rPr>
        <w:t xml:space="preserve"> dengan jumlah hari hujan mencapai 55 hari </w:t>
      </w:r>
      <w:bookmarkStart w:id="6" w:name="_Hlk186119323"/>
      <w:r>
        <w:rPr>
          <w:color w:val="202122"/>
          <w:sz w:val="22"/>
          <w:szCs w:val="22"/>
          <w:shd w:val="clear" w:color="auto" w:fill="FFFFFF"/>
          <w:lang w:val="id-ID"/>
        </w:rPr>
        <w:t>(BMKG, 2021)</w:t>
      </w:r>
      <w:bookmarkEnd w:id="6"/>
      <w:r>
        <w:rPr>
          <w:color w:val="202122"/>
          <w:sz w:val="22"/>
          <w:szCs w:val="22"/>
          <w:shd w:val="clear" w:color="auto" w:fill="FFFFFF"/>
          <w:lang w:val="id-ID"/>
        </w:rPr>
        <w:t>.</w:t>
      </w:r>
    </w:p>
    <w:p>
      <w:pPr>
        <w:pStyle w:val="38"/>
        <w:spacing w:line="360" w:lineRule="auto"/>
        <w:ind w:left="0" w:firstLine="567"/>
        <w:jc w:val="both"/>
        <w:rPr>
          <w:sz w:val="22"/>
          <w:szCs w:val="22"/>
          <w:lang w:val="id-ID"/>
        </w:rPr>
      </w:pPr>
      <w:r>
        <w:rPr>
          <w:sz w:val="22"/>
          <w:szCs w:val="22"/>
        </w:rPr>
        <w:t xml:space="preserve">Bahan yang digunakan dalam penelitian adalah stek tanaman bougenville, bambu, tanah, kompos dan arang sekam, plastic </w:t>
      </w:r>
      <w:r>
        <w:rPr>
          <w:sz w:val="22"/>
          <w:szCs w:val="22"/>
          <w:lang w:val="id-ID"/>
        </w:rPr>
        <w:t xml:space="preserve">sungkup. </w:t>
      </w:r>
      <w:r>
        <w:rPr>
          <w:sz w:val="22"/>
          <w:szCs w:val="22"/>
        </w:rPr>
        <w:t>Alat yang digunakan adalah pisau, gunting stek, polibag, gembor, plastik, alat tulis dan peralatan lain yang mendukung dalam pelaksanaan</w:t>
      </w:r>
      <w:r>
        <w:rPr>
          <w:sz w:val="22"/>
          <w:szCs w:val="22"/>
          <w:lang w:val="id-ID"/>
        </w:rPr>
        <w:t xml:space="preserve"> penelitian.</w:t>
      </w:r>
    </w:p>
    <w:p>
      <w:pPr>
        <w:spacing w:line="360" w:lineRule="auto"/>
        <w:ind w:firstLine="567"/>
        <w:jc w:val="both"/>
        <w:rPr>
          <w:sz w:val="22"/>
          <w:szCs w:val="22"/>
          <w:lang w:val="id-ID"/>
        </w:rPr>
      </w:pPr>
      <w:r>
        <w:rPr>
          <w:sz w:val="22"/>
          <w:szCs w:val="22"/>
          <w:lang w:val="id-ID"/>
        </w:rPr>
        <w:t xml:space="preserve">Metode rancangan yang digunakan adalah Rancangan Acak Kelompok Lengkap </w:t>
      </w:r>
      <w:r>
        <w:rPr>
          <w:sz w:val="22"/>
          <w:szCs w:val="22"/>
        </w:rPr>
        <w:t xml:space="preserve">Faktorial dengan 2 </w:t>
      </w:r>
      <w:r>
        <w:rPr>
          <w:sz w:val="22"/>
          <w:szCs w:val="22"/>
          <w:lang w:val="id-ID"/>
        </w:rPr>
        <w:t>perlakuan dan</w:t>
      </w:r>
      <w:r>
        <w:rPr>
          <w:sz w:val="22"/>
          <w:szCs w:val="22"/>
        </w:rPr>
        <w:t xml:space="preserve"> diulang </w:t>
      </w:r>
      <w:r>
        <w:rPr>
          <w:sz w:val="22"/>
          <w:szCs w:val="22"/>
          <w:lang w:val="id-ID"/>
        </w:rPr>
        <w:t xml:space="preserve">sebanyak </w:t>
      </w:r>
      <w:r>
        <w:rPr>
          <w:sz w:val="22"/>
          <w:szCs w:val="22"/>
        </w:rPr>
        <w:t xml:space="preserve">3 kali . Komposisi media tanam sebagai faktor I meliputi 3 taraf yaitu </w:t>
      </w:r>
      <w:r>
        <w:rPr>
          <w:sz w:val="22"/>
          <w:szCs w:val="22"/>
          <w:lang w:val="id-ID"/>
        </w:rPr>
        <w:t>K0 : Tanah, K1 = (Tanah : kompos = 1 : 1), K2 = (</w:t>
      </w:r>
      <w:r>
        <w:rPr>
          <w:sz w:val="22"/>
          <w:szCs w:val="22"/>
        </w:rPr>
        <w:t xml:space="preserve">Tanah </w:t>
      </w:r>
      <w:r>
        <w:rPr>
          <w:sz w:val="22"/>
          <w:szCs w:val="22"/>
          <w:lang w:val="id-ID"/>
        </w:rPr>
        <w:t>:</w:t>
      </w:r>
      <w:r>
        <w:rPr>
          <w:sz w:val="22"/>
          <w:szCs w:val="22"/>
        </w:rPr>
        <w:t xml:space="preserve"> kompos </w:t>
      </w:r>
      <w:r>
        <w:rPr>
          <w:sz w:val="22"/>
          <w:szCs w:val="22"/>
          <w:lang w:val="id-ID"/>
        </w:rPr>
        <w:t>:</w:t>
      </w:r>
      <w:r>
        <w:rPr>
          <w:sz w:val="22"/>
          <w:szCs w:val="22"/>
        </w:rPr>
        <w:t xml:space="preserve"> arang sekam ( 1  :  1  :  1)</w:t>
      </w:r>
      <w:r>
        <w:rPr>
          <w:sz w:val="22"/>
          <w:szCs w:val="22"/>
          <w:lang w:val="id-ID"/>
        </w:rPr>
        <w:t>. Perlakuan ke dua yaitu panjang stek batang bougenville, terdiri dari 4 taraf yaitu : P</w:t>
      </w:r>
      <w:r>
        <w:rPr>
          <w:sz w:val="22"/>
          <w:szCs w:val="22"/>
        </w:rPr>
        <w:t>1 : panjang stek 15 cm</w:t>
      </w:r>
      <w:r>
        <w:rPr>
          <w:sz w:val="22"/>
          <w:szCs w:val="22"/>
          <w:lang w:val="id-ID"/>
        </w:rPr>
        <w:t>; P</w:t>
      </w:r>
      <w:r>
        <w:rPr>
          <w:sz w:val="22"/>
          <w:szCs w:val="22"/>
        </w:rPr>
        <w:t>2 :</w:t>
      </w:r>
      <w:r>
        <w:rPr>
          <w:sz w:val="22"/>
          <w:szCs w:val="22"/>
          <w:lang w:val="id-ID"/>
        </w:rPr>
        <w:t xml:space="preserve"> </w:t>
      </w:r>
      <w:r>
        <w:rPr>
          <w:sz w:val="22"/>
          <w:szCs w:val="22"/>
        </w:rPr>
        <w:t>panjang stek 20 cm</w:t>
      </w:r>
      <w:r>
        <w:rPr>
          <w:sz w:val="22"/>
          <w:szCs w:val="22"/>
          <w:lang w:val="id-ID"/>
        </w:rPr>
        <w:t>; P</w:t>
      </w:r>
      <w:r>
        <w:rPr>
          <w:sz w:val="22"/>
          <w:szCs w:val="22"/>
        </w:rPr>
        <w:t>3 : panjang stek 25 cm</w:t>
      </w:r>
      <w:r>
        <w:rPr>
          <w:sz w:val="22"/>
          <w:szCs w:val="22"/>
          <w:lang w:val="id-ID"/>
        </w:rPr>
        <w:t>; P</w:t>
      </w:r>
      <w:r>
        <w:rPr>
          <w:sz w:val="22"/>
          <w:szCs w:val="22"/>
        </w:rPr>
        <w:t>4 : panjang stek 30 cm</w:t>
      </w:r>
      <w:r>
        <w:rPr>
          <w:sz w:val="22"/>
          <w:szCs w:val="22"/>
          <w:lang w:val="id-ID"/>
        </w:rPr>
        <w:t>. Uji lanjutan yang digunakan untuk ekstraksi pengaruh yang timbul menggunakan uji BNT 5%. Parameter yang dikenakan pada penelitian meliputi Hari muncul tunas, jumlah tunas, panjang tunas, jumlah daun, panjang akar, jumlah akar dan prosentase bibit jadi.</w:t>
      </w:r>
    </w:p>
    <w:p>
      <w:pPr>
        <w:pStyle w:val="38"/>
        <w:spacing w:line="360" w:lineRule="auto"/>
        <w:ind w:left="360" w:firstLine="360"/>
        <w:jc w:val="both"/>
        <w:rPr>
          <w:bCs/>
          <w:sz w:val="22"/>
          <w:szCs w:val="22"/>
          <w:lang w:val="id-ID"/>
        </w:rPr>
      </w:pPr>
    </w:p>
    <w:p>
      <w:pPr>
        <w:spacing w:line="360" w:lineRule="auto"/>
        <w:rPr>
          <w:b/>
          <w:color w:val="000000"/>
          <w:sz w:val="22"/>
          <w:szCs w:val="22"/>
        </w:rPr>
      </w:pPr>
      <w:r>
        <w:rPr>
          <w:b/>
          <w:color w:val="000000"/>
          <w:sz w:val="22"/>
          <w:szCs w:val="22"/>
        </w:rPr>
        <w:t xml:space="preserve">HASIL DAN PEMBAHASAN </w:t>
      </w:r>
    </w:p>
    <w:p>
      <w:pPr>
        <w:pStyle w:val="38"/>
        <w:numPr>
          <w:ilvl w:val="0"/>
          <w:numId w:val="4"/>
        </w:numPr>
        <w:tabs>
          <w:tab w:val="left" w:pos="567"/>
        </w:tabs>
        <w:spacing w:line="360" w:lineRule="auto"/>
        <w:ind w:left="426" w:hanging="426"/>
        <w:jc w:val="both"/>
        <w:rPr>
          <w:b/>
          <w:bCs/>
        </w:rPr>
      </w:pPr>
      <w:r>
        <w:rPr>
          <w:b/>
          <w:bCs/>
        </w:rPr>
        <w:t>Hari Muncul Tunas (hari)</w:t>
      </w:r>
    </w:p>
    <w:p>
      <w:pPr>
        <w:spacing w:line="360" w:lineRule="auto"/>
        <w:ind w:firstLine="709"/>
        <w:jc w:val="both"/>
        <w:rPr>
          <w:bCs/>
          <w:sz w:val="22"/>
          <w:szCs w:val="22"/>
        </w:rPr>
      </w:pPr>
      <w:r>
        <w:rPr>
          <w:bCs/>
          <w:sz w:val="22"/>
          <w:szCs w:val="22"/>
          <w:lang w:val="id-ID"/>
        </w:rPr>
        <w:t>Analisa Sidik Ragam parameter hari muncul tunas menunjukan perlakuan tunggal komposisi media tanam dan panjang stek berpengaruh sangat nyata. Demikian juga yang terjadi pada interaksi kedua perlakuan memberikan pengaruh positif pada pertumbuhan stek bougenville.</w:t>
      </w:r>
    </w:p>
    <w:p>
      <w:pPr>
        <w:spacing w:line="360" w:lineRule="auto"/>
        <w:jc w:val="both"/>
        <w:rPr>
          <w:bCs/>
          <w:sz w:val="22"/>
          <w:szCs w:val="22"/>
          <w:lang w:val="id-ID"/>
        </w:rPr>
      </w:pPr>
      <w:r>
        <w:rPr>
          <w:bCs/>
          <w:sz w:val="22"/>
          <w:szCs w:val="22"/>
          <w:lang w:val="id-ID"/>
        </w:rPr>
        <w:tab/>
      </w:r>
      <w:r>
        <w:rPr>
          <w:bCs/>
          <w:sz w:val="22"/>
          <w:szCs w:val="22"/>
          <w:lang w:val="id-ID"/>
        </w:rPr>
        <w:t>Rerata hari muncul tunas paling cepat tumbuh terjadi pada interaksi K2P3 (campuran media tanam tanah</w:t>
      </w:r>
      <w:r>
        <w:rPr>
          <w:bCs/>
          <w:sz w:val="22"/>
          <w:szCs w:val="22"/>
        </w:rPr>
        <w:t>, kompos</w:t>
      </w:r>
      <w:r>
        <w:rPr>
          <w:bCs/>
          <w:sz w:val="22"/>
          <w:szCs w:val="22"/>
          <w:lang w:val="id-ID"/>
        </w:rPr>
        <w:t xml:space="preserve"> dan arang sekam dengan perbandingan 1 :1</w:t>
      </w:r>
      <w:r>
        <w:rPr>
          <w:bCs/>
          <w:sz w:val="22"/>
          <w:szCs w:val="22"/>
        </w:rPr>
        <w:t>:1</w:t>
      </w:r>
      <w:r>
        <w:rPr>
          <w:bCs/>
          <w:sz w:val="22"/>
          <w:szCs w:val="22"/>
          <w:lang w:val="id-ID"/>
        </w:rPr>
        <w:t xml:space="preserve">) dengan panjang stek 25 cm, namun tidak berbeda nyata dengan interaksi taraf K2P2, K2P4 dan K1P1 pada tabel </w:t>
      </w:r>
      <w:r>
        <w:rPr>
          <w:bCs/>
          <w:sz w:val="22"/>
          <w:szCs w:val="22"/>
        </w:rPr>
        <w:t>1</w:t>
      </w:r>
      <w:r>
        <w:rPr>
          <w:bCs/>
          <w:sz w:val="22"/>
          <w:szCs w:val="22"/>
          <w:lang w:val="id-ID"/>
        </w:rPr>
        <w:t>.</w:t>
      </w:r>
      <w:r>
        <w:rPr>
          <w:bCs/>
          <w:sz w:val="22"/>
          <w:szCs w:val="22"/>
        </w:rPr>
        <w:t xml:space="preserve"> </w:t>
      </w:r>
      <w:r>
        <w:rPr>
          <w:sz w:val="22"/>
          <w:szCs w:val="22"/>
        </w:rPr>
        <w:t xml:space="preserve">Kandungan media tanam berupa campuran tanah, pupuk kandang dan arang sekam mampu menyuplai kebutuhan nutrisi pertumbuhan stek tanaman Bougenville. Arang sekam mempunyai kandungan nutrisi yang baik untuk pertumbuhan tanaman. Media arang sekam memiliki kondisi lingkungan sifat fisik dan kimia yang lebih baik bagi pertumbuhan tanaman. Dengan ketercukupan unsur hara tersebut maka pertumbuhan tunas pada stek tanaman Bougenville lebih cepat dibandingkan dengan media tanam lainnya. Selain itu, kecukupan kebutuhan intensitas cahaya matari tercukupi, sehingga pertumbuhan tunas menjadi lebih baik. Hal ini sesuai dengan pernyataan Smith and Yasmin (1987) </w:t>
      </w:r>
      <w:r>
        <w:rPr>
          <w:i/>
          <w:sz w:val="22"/>
          <w:szCs w:val="22"/>
        </w:rPr>
        <w:t>dalam</w:t>
      </w:r>
      <w:r>
        <w:rPr>
          <w:sz w:val="22"/>
          <w:szCs w:val="22"/>
        </w:rPr>
        <w:t xml:space="preserve"> </w:t>
      </w:r>
      <w:bookmarkStart w:id="7" w:name="_Hlk186119431"/>
      <w:r>
        <w:rPr>
          <w:sz w:val="22"/>
          <w:szCs w:val="22"/>
        </w:rPr>
        <w:t xml:space="preserve">Tohari, </w:t>
      </w:r>
      <w:r>
        <w:rPr>
          <w:i/>
          <w:sz w:val="22"/>
          <w:szCs w:val="22"/>
        </w:rPr>
        <w:t>et.al</w:t>
      </w:r>
      <w:r>
        <w:rPr>
          <w:sz w:val="22"/>
          <w:szCs w:val="22"/>
        </w:rPr>
        <w:t xml:space="preserve"> (2004)</w:t>
      </w:r>
      <w:bookmarkEnd w:id="7"/>
      <w:r>
        <w:rPr>
          <w:sz w:val="22"/>
          <w:szCs w:val="22"/>
        </w:rPr>
        <w:t>, intensitas cahaya yang baik bagi stek adalah 50-70 %.</w:t>
      </w:r>
    </w:p>
    <w:p>
      <w:pPr>
        <w:pStyle w:val="38"/>
        <w:ind w:left="1276" w:hanging="850"/>
        <w:jc w:val="both"/>
        <w:rPr>
          <w:b/>
          <w:i/>
          <w:sz w:val="22"/>
          <w:szCs w:val="22"/>
        </w:rPr>
      </w:pPr>
      <w:r>
        <w:rPr>
          <w:b/>
          <w:sz w:val="22"/>
          <w:szCs w:val="22"/>
        </w:rPr>
        <w:t xml:space="preserve">Tabel 1. Rerata Hari Muncul Tunas Akibat </w:t>
      </w:r>
      <w:r>
        <w:rPr>
          <w:rFonts w:eastAsia="Calibri"/>
          <w:b/>
          <w:sz w:val="22"/>
          <w:szCs w:val="22"/>
        </w:rPr>
        <w:t xml:space="preserve">Pengaruh Komposisi Media Tanam dan Panjang Stek Terhadap Pertumbuhan </w:t>
      </w:r>
      <w:r>
        <w:rPr>
          <w:rFonts w:eastAsia="Calibri"/>
          <w:b/>
          <w:sz w:val="22"/>
          <w:szCs w:val="22"/>
          <w:lang w:val="id-ID"/>
        </w:rPr>
        <w:t>bibit</w:t>
      </w:r>
      <w:r>
        <w:rPr>
          <w:rFonts w:eastAsia="Calibri"/>
          <w:b/>
          <w:sz w:val="22"/>
          <w:szCs w:val="22"/>
        </w:rPr>
        <w:t xml:space="preserve"> Bougenville</w:t>
      </w:r>
    </w:p>
    <w:tbl>
      <w:tblPr>
        <w:tblStyle w:val="12"/>
        <w:tblW w:w="3220" w:type="dxa"/>
        <w:jc w:val="center"/>
        <w:tblLayout w:type="autofit"/>
        <w:tblCellMar>
          <w:top w:w="0" w:type="dxa"/>
          <w:left w:w="108" w:type="dxa"/>
          <w:bottom w:w="0" w:type="dxa"/>
          <w:right w:w="108" w:type="dxa"/>
        </w:tblCellMar>
      </w:tblPr>
      <w:tblGrid>
        <w:gridCol w:w="1300"/>
        <w:gridCol w:w="1306"/>
        <w:gridCol w:w="614"/>
      </w:tblGrid>
      <w:tr>
        <w:tblPrEx>
          <w:tblCellMar>
            <w:top w:w="0" w:type="dxa"/>
            <w:left w:w="108" w:type="dxa"/>
            <w:bottom w:w="0" w:type="dxa"/>
            <w:right w:w="108" w:type="dxa"/>
          </w:tblCellMar>
        </w:tblPrEx>
        <w:trPr>
          <w:trHeight w:val="315" w:hRule="atLeast"/>
          <w:jc w:val="center"/>
        </w:trPr>
        <w:tc>
          <w:tcPr>
            <w:tcW w:w="1300"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Perlakuan</w:t>
            </w:r>
          </w:p>
        </w:tc>
        <w:tc>
          <w:tcPr>
            <w:tcW w:w="1920" w:type="dxa"/>
            <w:gridSpan w:val="2"/>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Rerata</w:t>
            </w:r>
          </w:p>
        </w:tc>
      </w:tr>
      <w:tr>
        <w:tblPrEx>
          <w:tblCellMar>
            <w:top w:w="0" w:type="dxa"/>
            <w:left w:w="108" w:type="dxa"/>
            <w:bottom w:w="0" w:type="dxa"/>
            <w:right w:w="108" w:type="dxa"/>
          </w:tblCellMar>
        </w:tblPrEx>
        <w:trPr>
          <w:trHeight w:val="315" w:hRule="atLeast"/>
          <w:jc w:val="center"/>
        </w:trPr>
        <w:tc>
          <w:tcPr>
            <w:tcW w:w="1300" w:type="dxa"/>
            <w:tcBorders>
              <w:top w:val="nil"/>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1</w:t>
            </w:r>
          </w:p>
        </w:tc>
        <w:tc>
          <w:tcPr>
            <w:tcW w:w="1306" w:type="dxa"/>
            <w:tcBorders>
              <w:top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12,67</w:t>
            </w:r>
          </w:p>
        </w:tc>
        <w:tc>
          <w:tcPr>
            <w:tcW w:w="614" w:type="dxa"/>
            <w:tcBorders>
              <w:top w:val="nil"/>
              <w:left w:val="nil"/>
              <w:bottom w:val="single" w:color="auto" w:sz="4" w:space="0"/>
            </w:tcBorders>
            <w:shd w:val="clear" w:color="auto" w:fill="auto"/>
            <w:noWrap/>
            <w:vAlign w:val="bottom"/>
          </w:tcPr>
          <w:p>
            <w:pPr>
              <w:rPr>
                <w:color w:val="000000"/>
                <w:sz w:val="22"/>
                <w:szCs w:val="22"/>
              </w:rPr>
            </w:pPr>
            <w:r>
              <w:rPr>
                <w:color w:val="000000"/>
                <w:sz w:val="22"/>
                <w:szCs w:val="22"/>
              </w:rPr>
              <w:t>de</w:t>
            </w:r>
          </w:p>
        </w:tc>
      </w:tr>
      <w:tr>
        <w:tblPrEx>
          <w:tblCellMar>
            <w:top w:w="0" w:type="dxa"/>
            <w:left w:w="108" w:type="dxa"/>
            <w:bottom w:w="0" w:type="dxa"/>
            <w:right w:w="108" w:type="dxa"/>
          </w:tblCellMar>
        </w:tblPrEx>
        <w:trPr>
          <w:trHeight w:val="315" w:hRule="atLeast"/>
          <w:jc w:val="center"/>
        </w:trPr>
        <w:tc>
          <w:tcPr>
            <w:tcW w:w="1300" w:type="dxa"/>
            <w:tcBorders>
              <w:top w:val="nil"/>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2</w:t>
            </w:r>
          </w:p>
        </w:tc>
        <w:tc>
          <w:tcPr>
            <w:tcW w:w="1306" w:type="dxa"/>
            <w:tcBorders>
              <w:top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12,00</w:t>
            </w:r>
          </w:p>
        </w:tc>
        <w:tc>
          <w:tcPr>
            <w:tcW w:w="614"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ef</w:t>
            </w:r>
          </w:p>
        </w:tc>
      </w:tr>
      <w:tr>
        <w:tblPrEx>
          <w:tblCellMar>
            <w:top w:w="0" w:type="dxa"/>
            <w:left w:w="108" w:type="dxa"/>
            <w:bottom w:w="0" w:type="dxa"/>
            <w:right w:w="108" w:type="dxa"/>
          </w:tblCellMar>
        </w:tblPrEx>
        <w:trPr>
          <w:trHeight w:val="315" w:hRule="atLeast"/>
          <w:jc w:val="center"/>
        </w:trPr>
        <w:tc>
          <w:tcPr>
            <w:tcW w:w="1300" w:type="dxa"/>
            <w:tcBorders>
              <w:top w:val="nil"/>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3</w:t>
            </w:r>
          </w:p>
        </w:tc>
        <w:tc>
          <w:tcPr>
            <w:tcW w:w="1306" w:type="dxa"/>
            <w:tcBorders>
              <w:top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15,33</w:t>
            </w:r>
          </w:p>
        </w:tc>
        <w:tc>
          <w:tcPr>
            <w:tcW w:w="614"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ab</w:t>
            </w:r>
          </w:p>
        </w:tc>
      </w:tr>
      <w:tr>
        <w:tblPrEx>
          <w:tblCellMar>
            <w:top w:w="0" w:type="dxa"/>
            <w:left w:w="108" w:type="dxa"/>
            <w:bottom w:w="0" w:type="dxa"/>
            <w:right w:w="108" w:type="dxa"/>
          </w:tblCellMar>
        </w:tblPrEx>
        <w:trPr>
          <w:trHeight w:val="315" w:hRule="atLeast"/>
          <w:jc w:val="center"/>
        </w:trPr>
        <w:tc>
          <w:tcPr>
            <w:tcW w:w="1300" w:type="dxa"/>
            <w:tcBorders>
              <w:top w:val="nil"/>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4</w:t>
            </w:r>
          </w:p>
        </w:tc>
        <w:tc>
          <w:tcPr>
            <w:tcW w:w="1306" w:type="dxa"/>
            <w:tcBorders>
              <w:top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16,00</w:t>
            </w:r>
          </w:p>
        </w:tc>
        <w:tc>
          <w:tcPr>
            <w:tcW w:w="614"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a</w:t>
            </w:r>
          </w:p>
        </w:tc>
      </w:tr>
      <w:tr>
        <w:tblPrEx>
          <w:tblCellMar>
            <w:top w:w="0" w:type="dxa"/>
            <w:left w:w="108" w:type="dxa"/>
            <w:bottom w:w="0" w:type="dxa"/>
            <w:right w:w="108" w:type="dxa"/>
          </w:tblCellMar>
        </w:tblPrEx>
        <w:trPr>
          <w:trHeight w:val="315" w:hRule="atLeast"/>
          <w:jc w:val="center"/>
        </w:trPr>
        <w:tc>
          <w:tcPr>
            <w:tcW w:w="1300" w:type="dxa"/>
            <w:tcBorders>
              <w:top w:val="nil"/>
              <w:bottom w:val="single" w:color="auto" w:sz="4" w:space="0"/>
            </w:tcBorders>
            <w:shd w:val="clear" w:color="auto" w:fill="auto"/>
            <w:noWrap/>
            <w:vAlign w:val="bottom"/>
          </w:tcPr>
          <w:p>
            <w:pPr>
              <w:jc w:val="center"/>
              <w:rPr>
                <w:color w:val="000000"/>
                <w:sz w:val="22"/>
                <w:szCs w:val="22"/>
              </w:rPr>
            </w:pPr>
            <w:r>
              <w:rPr>
                <w:color w:val="000000"/>
                <w:sz w:val="22"/>
                <w:szCs w:val="22"/>
                <w:lang w:val="id-ID"/>
              </w:rPr>
              <w:t>K1P</w:t>
            </w:r>
            <w:r>
              <w:rPr>
                <w:color w:val="000000"/>
                <w:sz w:val="22"/>
                <w:szCs w:val="22"/>
              </w:rPr>
              <w:t>1</w:t>
            </w:r>
          </w:p>
        </w:tc>
        <w:tc>
          <w:tcPr>
            <w:tcW w:w="1306" w:type="dxa"/>
            <w:tcBorders>
              <w:top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11,00</w:t>
            </w:r>
          </w:p>
        </w:tc>
        <w:tc>
          <w:tcPr>
            <w:tcW w:w="614"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fg</w:t>
            </w:r>
          </w:p>
        </w:tc>
      </w:tr>
      <w:tr>
        <w:tblPrEx>
          <w:tblCellMar>
            <w:top w:w="0" w:type="dxa"/>
            <w:left w:w="108" w:type="dxa"/>
            <w:bottom w:w="0" w:type="dxa"/>
            <w:right w:w="108" w:type="dxa"/>
          </w:tblCellMar>
        </w:tblPrEx>
        <w:trPr>
          <w:trHeight w:val="315" w:hRule="atLeast"/>
          <w:jc w:val="center"/>
        </w:trPr>
        <w:tc>
          <w:tcPr>
            <w:tcW w:w="1300" w:type="dxa"/>
            <w:tcBorders>
              <w:top w:val="nil"/>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2</w:t>
            </w:r>
          </w:p>
        </w:tc>
        <w:tc>
          <w:tcPr>
            <w:tcW w:w="1306" w:type="dxa"/>
            <w:tcBorders>
              <w:top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11,33</w:t>
            </w:r>
          </w:p>
        </w:tc>
        <w:tc>
          <w:tcPr>
            <w:tcW w:w="614"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ef</w:t>
            </w:r>
          </w:p>
        </w:tc>
      </w:tr>
      <w:tr>
        <w:tblPrEx>
          <w:tblCellMar>
            <w:top w:w="0" w:type="dxa"/>
            <w:left w:w="108" w:type="dxa"/>
            <w:bottom w:w="0" w:type="dxa"/>
            <w:right w:w="108" w:type="dxa"/>
          </w:tblCellMar>
        </w:tblPrEx>
        <w:trPr>
          <w:trHeight w:val="315" w:hRule="atLeast"/>
          <w:jc w:val="center"/>
        </w:trPr>
        <w:tc>
          <w:tcPr>
            <w:tcW w:w="1300" w:type="dxa"/>
            <w:tcBorders>
              <w:top w:val="nil"/>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3</w:t>
            </w:r>
          </w:p>
        </w:tc>
        <w:tc>
          <w:tcPr>
            <w:tcW w:w="1306" w:type="dxa"/>
            <w:tcBorders>
              <w:top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14</w:t>
            </w:r>
            <w:r>
              <w:rPr>
                <w:color w:val="000000"/>
                <w:sz w:val="22"/>
                <w:szCs w:val="22"/>
                <w:lang w:val="id-ID"/>
              </w:rPr>
              <w:t>,</w:t>
            </w:r>
            <w:r>
              <w:rPr>
                <w:color w:val="000000"/>
                <w:sz w:val="22"/>
                <w:szCs w:val="22"/>
              </w:rPr>
              <w:t>33</w:t>
            </w:r>
          </w:p>
        </w:tc>
        <w:tc>
          <w:tcPr>
            <w:tcW w:w="614"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bc</w:t>
            </w:r>
          </w:p>
        </w:tc>
      </w:tr>
      <w:tr>
        <w:tblPrEx>
          <w:tblCellMar>
            <w:top w:w="0" w:type="dxa"/>
            <w:left w:w="108" w:type="dxa"/>
            <w:bottom w:w="0" w:type="dxa"/>
            <w:right w:w="108" w:type="dxa"/>
          </w:tblCellMar>
        </w:tblPrEx>
        <w:trPr>
          <w:trHeight w:val="315" w:hRule="atLeast"/>
          <w:jc w:val="center"/>
        </w:trPr>
        <w:tc>
          <w:tcPr>
            <w:tcW w:w="1300" w:type="dxa"/>
            <w:tcBorders>
              <w:top w:val="nil"/>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4</w:t>
            </w:r>
          </w:p>
        </w:tc>
        <w:tc>
          <w:tcPr>
            <w:tcW w:w="1306" w:type="dxa"/>
            <w:tcBorders>
              <w:top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15,33</w:t>
            </w:r>
          </w:p>
        </w:tc>
        <w:tc>
          <w:tcPr>
            <w:tcW w:w="614"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ab</w:t>
            </w:r>
            <w:bookmarkStart w:id="18" w:name="_GoBack"/>
            <w:bookmarkEnd w:id="18"/>
          </w:p>
        </w:tc>
      </w:tr>
      <w:tr>
        <w:tblPrEx>
          <w:tblCellMar>
            <w:top w:w="0" w:type="dxa"/>
            <w:left w:w="108" w:type="dxa"/>
            <w:bottom w:w="0" w:type="dxa"/>
            <w:right w:w="108" w:type="dxa"/>
          </w:tblCellMar>
        </w:tblPrEx>
        <w:trPr>
          <w:trHeight w:val="315" w:hRule="atLeast"/>
          <w:jc w:val="center"/>
        </w:trPr>
        <w:tc>
          <w:tcPr>
            <w:tcW w:w="1300" w:type="dxa"/>
            <w:tcBorders>
              <w:top w:val="nil"/>
              <w:bottom w:val="single" w:color="auto" w:sz="4" w:space="0"/>
            </w:tcBorders>
            <w:shd w:val="clear" w:color="auto" w:fill="auto"/>
            <w:noWrap/>
            <w:vAlign w:val="bottom"/>
          </w:tcPr>
          <w:p>
            <w:pPr>
              <w:jc w:val="center"/>
              <w:rPr>
                <w:color w:val="000000"/>
                <w:sz w:val="22"/>
                <w:szCs w:val="22"/>
              </w:rPr>
            </w:pPr>
            <w:r>
              <w:rPr>
                <w:color w:val="000000"/>
                <w:sz w:val="22"/>
                <w:szCs w:val="22"/>
                <w:lang w:val="id-ID"/>
              </w:rPr>
              <w:t>K2P</w:t>
            </w:r>
            <w:r>
              <w:rPr>
                <w:color w:val="000000"/>
                <w:sz w:val="22"/>
                <w:szCs w:val="22"/>
              </w:rPr>
              <w:t>1</w:t>
            </w:r>
          </w:p>
        </w:tc>
        <w:tc>
          <w:tcPr>
            <w:tcW w:w="1306" w:type="dxa"/>
            <w:tcBorders>
              <w:top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13,67</w:t>
            </w:r>
          </w:p>
        </w:tc>
        <w:tc>
          <w:tcPr>
            <w:tcW w:w="614"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cd</w:t>
            </w:r>
          </w:p>
        </w:tc>
      </w:tr>
      <w:tr>
        <w:tblPrEx>
          <w:tblCellMar>
            <w:top w:w="0" w:type="dxa"/>
            <w:left w:w="108" w:type="dxa"/>
            <w:bottom w:w="0" w:type="dxa"/>
            <w:right w:w="108" w:type="dxa"/>
          </w:tblCellMar>
        </w:tblPrEx>
        <w:trPr>
          <w:trHeight w:val="315" w:hRule="atLeast"/>
          <w:jc w:val="center"/>
        </w:trPr>
        <w:tc>
          <w:tcPr>
            <w:tcW w:w="1300" w:type="dxa"/>
            <w:tcBorders>
              <w:top w:val="nil"/>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2</w:t>
            </w:r>
          </w:p>
        </w:tc>
        <w:tc>
          <w:tcPr>
            <w:tcW w:w="1306" w:type="dxa"/>
            <w:tcBorders>
              <w:top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11,00</w:t>
            </w:r>
          </w:p>
        </w:tc>
        <w:tc>
          <w:tcPr>
            <w:tcW w:w="614"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fg</w:t>
            </w:r>
          </w:p>
        </w:tc>
      </w:tr>
      <w:tr>
        <w:tblPrEx>
          <w:tblCellMar>
            <w:top w:w="0" w:type="dxa"/>
            <w:left w:w="108" w:type="dxa"/>
            <w:bottom w:w="0" w:type="dxa"/>
            <w:right w:w="108" w:type="dxa"/>
          </w:tblCellMar>
        </w:tblPrEx>
        <w:trPr>
          <w:trHeight w:val="315" w:hRule="atLeast"/>
          <w:jc w:val="center"/>
        </w:trPr>
        <w:tc>
          <w:tcPr>
            <w:tcW w:w="1300" w:type="dxa"/>
            <w:tcBorders>
              <w:top w:val="nil"/>
              <w:bottom w:val="single" w:color="auto" w:sz="4" w:space="0"/>
            </w:tcBorders>
            <w:shd w:val="clear" w:color="auto" w:fill="auto"/>
            <w:noWrap/>
            <w:vAlign w:val="bottom"/>
          </w:tcPr>
          <w:p>
            <w:pPr>
              <w:jc w:val="center"/>
              <w:rPr>
                <w:b/>
                <w:color w:val="000000"/>
                <w:sz w:val="22"/>
                <w:szCs w:val="22"/>
              </w:rPr>
            </w:pPr>
            <w:r>
              <w:rPr>
                <w:b/>
                <w:color w:val="000000"/>
                <w:sz w:val="22"/>
                <w:szCs w:val="22"/>
                <w:lang w:val="id-ID"/>
              </w:rPr>
              <w:t>K</w:t>
            </w:r>
            <w:r>
              <w:rPr>
                <w:b/>
                <w:color w:val="000000"/>
                <w:sz w:val="22"/>
                <w:szCs w:val="22"/>
              </w:rPr>
              <w:t>2</w:t>
            </w:r>
            <w:r>
              <w:rPr>
                <w:b/>
                <w:color w:val="000000"/>
                <w:sz w:val="22"/>
                <w:szCs w:val="22"/>
                <w:lang w:val="id-ID"/>
              </w:rPr>
              <w:t>P</w:t>
            </w:r>
            <w:r>
              <w:rPr>
                <w:b/>
                <w:color w:val="000000"/>
                <w:sz w:val="22"/>
                <w:szCs w:val="22"/>
              </w:rPr>
              <w:t>3</w:t>
            </w:r>
          </w:p>
        </w:tc>
        <w:tc>
          <w:tcPr>
            <w:tcW w:w="1306" w:type="dxa"/>
            <w:tcBorders>
              <w:top w:val="nil"/>
              <w:bottom w:val="single" w:color="auto" w:sz="4" w:space="0"/>
              <w:right w:val="nil"/>
            </w:tcBorders>
            <w:shd w:val="clear" w:color="auto" w:fill="auto"/>
            <w:noWrap/>
            <w:vAlign w:val="bottom"/>
          </w:tcPr>
          <w:p>
            <w:pPr>
              <w:jc w:val="right"/>
              <w:rPr>
                <w:b/>
                <w:color w:val="000000"/>
                <w:sz w:val="22"/>
                <w:szCs w:val="22"/>
              </w:rPr>
            </w:pPr>
            <w:r>
              <w:rPr>
                <w:b/>
                <w:color w:val="000000"/>
                <w:sz w:val="22"/>
                <w:szCs w:val="22"/>
              </w:rPr>
              <w:t>10,33</w:t>
            </w:r>
          </w:p>
        </w:tc>
        <w:tc>
          <w:tcPr>
            <w:tcW w:w="614" w:type="dxa"/>
            <w:tcBorders>
              <w:top w:val="single" w:color="auto" w:sz="4" w:space="0"/>
              <w:left w:val="nil"/>
              <w:bottom w:val="single" w:color="auto" w:sz="4" w:space="0"/>
            </w:tcBorders>
            <w:shd w:val="clear" w:color="auto" w:fill="auto"/>
            <w:noWrap/>
            <w:vAlign w:val="bottom"/>
          </w:tcPr>
          <w:p>
            <w:pPr>
              <w:rPr>
                <w:b/>
                <w:color w:val="000000"/>
                <w:sz w:val="22"/>
                <w:szCs w:val="22"/>
              </w:rPr>
            </w:pPr>
            <w:r>
              <w:rPr>
                <w:b/>
                <w:color w:val="000000"/>
                <w:sz w:val="22"/>
                <w:szCs w:val="22"/>
              </w:rPr>
              <w:t xml:space="preserve"> g</w:t>
            </w:r>
          </w:p>
        </w:tc>
      </w:tr>
      <w:tr>
        <w:tblPrEx>
          <w:tblCellMar>
            <w:top w:w="0" w:type="dxa"/>
            <w:left w:w="108" w:type="dxa"/>
            <w:bottom w:w="0" w:type="dxa"/>
            <w:right w:w="108" w:type="dxa"/>
          </w:tblCellMar>
        </w:tblPrEx>
        <w:trPr>
          <w:trHeight w:val="315" w:hRule="atLeast"/>
          <w:jc w:val="center"/>
        </w:trPr>
        <w:tc>
          <w:tcPr>
            <w:tcW w:w="1300" w:type="dxa"/>
            <w:tcBorders>
              <w:top w:val="nil"/>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4</w:t>
            </w:r>
          </w:p>
        </w:tc>
        <w:tc>
          <w:tcPr>
            <w:tcW w:w="1306" w:type="dxa"/>
            <w:tcBorders>
              <w:top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10,67</w:t>
            </w:r>
          </w:p>
        </w:tc>
        <w:tc>
          <w:tcPr>
            <w:tcW w:w="614"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fg</w:t>
            </w:r>
          </w:p>
        </w:tc>
      </w:tr>
      <w:tr>
        <w:tblPrEx>
          <w:tblCellMar>
            <w:top w:w="0" w:type="dxa"/>
            <w:left w:w="108" w:type="dxa"/>
            <w:bottom w:w="0" w:type="dxa"/>
            <w:right w:w="108" w:type="dxa"/>
          </w:tblCellMar>
        </w:tblPrEx>
        <w:trPr>
          <w:trHeight w:val="315" w:hRule="atLeast"/>
          <w:jc w:val="center"/>
        </w:trPr>
        <w:tc>
          <w:tcPr>
            <w:tcW w:w="1300" w:type="dxa"/>
            <w:tcBorders>
              <w:top w:val="single" w:color="auto" w:sz="4" w:space="0"/>
              <w:bottom w:val="single" w:color="auto" w:sz="4" w:space="0"/>
            </w:tcBorders>
            <w:shd w:val="clear" w:color="auto" w:fill="auto"/>
            <w:noWrap/>
            <w:vAlign w:val="center"/>
          </w:tcPr>
          <w:p>
            <w:pPr>
              <w:jc w:val="center"/>
              <w:rPr>
                <w:color w:val="000000"/>
                <w:sz w:val="22"/>
                <w:szCs w:val="22"/>
              </w:rPr>
            </w:pPr>
            <w:r>
              <w:rPr>
                <w:color w:val="000000"/>
                <w:sz w:val="22"/>
                <w:szCs w:val="22"/>
              </w:rPr>
              <w:t>BNT 5%</w:t>
            </w:r>
          </w:p>
        </w:tc>
        <w:tc>
          <w:tcPr>
            <w:tcW w:w="1306" w:type="dxa"/>
            <w:tcBorders>
              <w:top w:val="single" w:color="auto" w:sz="4" w:space="0"/>
              <w:bottom w:val="single" w:color="auto" w:sz="4" w:space="0"/>
              <w:right w:val="nil"/>
            </w:tcBorders>
            <w:shd w:val="clear" w:color="auto" w:fill="auto"/>
            <w:noWrap/>
            <w:vAlign w:val="bottom"/>
          </w:tcPr>
          <w:p>
            <w:pPr>
              <w:jc w:val="right"/>
              <w:rPr>
                <w:color w:val="000000"/>
                <w:sz w:val="22"/>
                <w:szCs w:val="22"/>
              </w:rPr>
            </w:pPr>
            <w:r>
              <w:rPr>
                <w:color w:val="000000"/>
                <w:sz w:val="22"/>
                <w:szCs w:val="22"/>
              </w:rPr>
              <w:t>1,579</w:t>
            </w:r>
          </w:p>
        </w:tc>
        <w:tc>
          <w:tcPr>
            <w:tcW w:w="614" w:type="dxa"/>
            <w:tcBorders>
              <w:top w:val="single" w:color="auto" w:sz="4" w:space="0"/>
              <w:left w:val="nil"/>
              <w:bottom w:val="single" w:color="auto" w:sz="4" w:space="0"/>
            </w:tcBorders>
            <w:shd w:val="clear" w:color="auto" w:fill="auto"/>
            <w:noWrap/>
            <w:vAlign w:val="bottom"/>
          </w:tcPr>
          <w:p>
            <w:pPr>
              <w:rPr>
                <w:color w:val="000000"/>
                <w:sz w:val="22"/>
                <w:szCs w:val="22"/>
              </w:rPr>
            </w:pPr>
          </w:p>
        </w:tc>
      </w:tr>
    </w:tbl>
    <w:p>
      <w:pPr>
        <w:tabs>
          <w:tab w:val="left" w:pos="567"/>
        </w:tabs>
        <w:spacing w:line="360" w:lineRule="auto"/>
        <w:jc w:val="both"/>
        <w:rPr>
          <w:bCs/>
          <w:sz w:val="22"/>
          <w:szCs w:val="22"/>
        </w:rPr>
      </w:pPr>
    </w:p>
    <w:p>
      <w:pPr>
        <w:tabs>
          <w:tab w:val="left" w:pos="993"/>
        </w:tabs>
        <w:spacing w:line="360" w:lineRule="auto"/>
        <w:ind w:firstLine="567"/>
        <w:jc w:val="both"/>
        <w:rPr>
          <w:bCs/>
          <w:sz w:val="22"/>
          <w:szCs w:val="22"/>
        </w:rPr>
      </w:pPr>
      <w:r>
        <w:rPr>
          <w:sz w:val="22"/>
          <w:szCs w:val="22"/>
        </w:rPr>
        <w:t xml:space="preserve">Stek batang tanaman Bougenville panjang 25 cm memiliki kemampuan muncul tunas lebih cepat dibanding ukuran panjang lainnya. Batang stek mengandung karbohidrat yang menunjang pertumbuhan tunas stek. </w:t>
      </w:r>
      <w:r>
        <w:rPr>
          <w:rStyle w:val="128"/>
        </w:rPr>
        <w:t>Hal ini</w:t>
      </w:r>
      <w:r>
        <w:rPr>
          <w:color w:val="000000"/>
          <w:sz w:val="22"/>
          <w:szCs w:val="22"/>
        </w:rPr>
        <w:t xml:space="preserve"> </w:t>
      </w:r>
      <w:r>
        <w:rPr>
          <w:rStyle w:val="128"/>
        </w:rPr>
        <w:t xml:space="preserve">diduga karena stek yang digunakan muda sehingga cadangan makanan yang terdapat pada panjang stek 25 cm dapat memacu pertumbuhan tunas. Cadangan makanan digunakan untuk memacu pertumbuhan dari tunas </w:t>
      </w:r>
      <w:bookmarkStart w:id="8" w:name="_Hlk186119496"/>
      <w:r>
        <w:rPr>
          <w:rStyle w:val="128"/>
        </w:rPr>
        <w:t>(Hartmaan dan Kester, 2002).</w:t>
      </w:r>
      <w:bookmarkEnd w:id="8"/>
    </w:p>
    <w:p>
      <w:pPr>
        <w:pStyle w:val="38"/>
        <w:numPr>
          <w:ilvl w:val="0"/>
          <w:numId w:val="4"/>
        </w:numPr>
        <w:tabs>
          <w:tab w:val="left" w:pos="567"/>
        </w:tabs>
        <w:spacing w:line="360" w:lineRule="auto"/>
        <w:ind w:left="426" w:hanging="426"/>
        <w:jc w:val="both"/>
        <w:rPr>
          <w:bCs/>
          <w:sz w:val="22"/>
          <w:szCs w:val="22"/>
        </w:rPr>
      </w:pPr>
      <w:r>
        <w:rPr>
          <w:b/>
        </w:rPr>
        <w:t>Jumlah Tunas</w:t>
      </w:r>
    </w:p>
    <w:p>
      <w:pPr>
        <w:spacing w:line="360" w:lineRule="auto"/>
        <w:ind w:firstLine="426"/>
        <w:jc w:val="both"/>
        <w:rPr>
          <w:bCs/>
          <w:sz w:val="22"/>
          <w:szCs w:val="22"/>
          <w:lang w:val="id-ID"/>
        </w:rPr>
      </w:pPr>
      <w:r>
        <w:rPr>
          <w:bCs/>
          <w:sz w:val="22"/>
          <w:szCs w:val="22"/>
        </w:rPr>
        <w:tab/>
      </w:r>
      <w:r>
        <w:rPr>
          <w:bCs/>
          <w:sz w:val="22"/>
          <w:szCs w:val="22"/>
          <w:lang w:val="id-ID"/>
        </w:rPr>
        <w:t xml:space="preserve">Perlakuan tunggal komposisi media tanam menunjukkan adanya pengaruh berbeda sangat nyata dan perlakuan tunggal panjang stek juga memberikan pengaruh positif pada parameter jumlah tunas. Interaksi antara kedua perlakuan tunggal tersebut menunjukkan pengaruh berbeda tidak nyata pada jumlah tunas yang terbentuk </w:t>
      </w:r>
    </w:p>
    <w:p>
      <w:pPr>
        <w:tabs>
          <w:tab w:val="left" w:pos="567"/>
        </w:tabs>
        <w:spacing w:line="360" w:lineRule="auto"/>
        <w:jc w:val="both"/>
        <w:rPr>
          <w:sz w:val="22"/>
          <w:szCs w:val="22"/>
          <w:lang w:val="id-ID"/>
        </w:rPr>
      </w:pPr>
      <w:r>
        <w:rPr>
          <w:sz w:val="24"/>
          <w:szCs w:val="24"/>
          <w:lang w:val="id-ID"/>
        </w:rPr>
        <w:tab/>
      </w:r>
      <w:r>
        <w:rPr>
          <w:sz w:val="24"/>
          <w:szCs w:val="24"/>
        </w:rPr>
        <w:t>Rerata p</w:t>
      </w:r>
      <w:r>
        <w:rPr>
          <w:sz w:val="22"/>
          <w:szCs w:val="22"/>
        </w:rPr>
        <w:t>erlakuan tunggal Komposisi Media Tanam (</w:t>
      </w:r>
      <w:r>
        <w:rPr>
          <w:sz w:val="22"/>
          <w:szCs w:val="22"/>
          <w:lang w:val="id-ID"/>
        </w:rPr>
        <w:t>K</w:t>
      </w:r>
      <w:r>
        <w:rPr>
          <w:sz w:val="22"/>
          <w:szCs w:val="22"/>
        </w:rPr>
        <w:t>) menunjukkan perlakuan Komposisi (</w:t>
      </w:r>
      <w:r>
        <w:rPr>
          <w:sz w:val="22"/>
          <w:szCs w:val="22"/>
          <w:lang w:val="id-ID"/>
        </w:rPr>
        <w:t>K</w:t>
      </w:r>
      <w:r>
        <w:rPr>
          <w:sz w:val="22"/>
          <w:szCs w:val="22"/>
        </w:rPr>
        <w:t>2) dengan jumlah tunas paling banyak dibandingkan komposisi media tanam tanah (</w:t>
      </w:r>
      <w:r>
        <w:rPr>
          <w:sz w:val="22"/>
          <w:szCs w:val="22"/>
          <w:lang w:val="id-ID"/>
        </w:rPr>
        <w:t>K</w:t>
      </w:r>
      <w:r>
        <w:rPr>
          <w:sz w:val="22"/>
          <w:szCs w:val="22"/>
        </w:rPr>
        <w:t>0), namun tidak berbeda nyata dengan taraf perlakuan komposisi media tanam campuran tanah dan kompos (</w:t>
      </w:r>
      <w:r>
        <w:rPr>
          <w:sz w:val="22"/>
          <w:szCs w:val="22"/>
          <w:lang w:val="id-ID"/>
        </w:rPr>
        <w:t>K</w:t>
      </w:r>
      <w:r>
        <w:rPr>
          <w:sz w:val="22"/>
          <w:szCs w:val="22"/>
        </w:rPr>
        <w:t>1).</w:t>
      </w:r>
      <w:r>
        <w:rPr>
          <w:sz w:val="22"/>
          <w:szCs w:val="22"/>
          <w:lang w:val="id-ID"/>
        </w:rPr>
        <w:t xml:space="preserve"> Rerata jumlah tunas terbanyak berdasarkan perlakuan tunggal panjang stek adalah panjang stek 25 cm, namun demikian taraf tersebut tidak berbeda </w:t>
      </w:r>
      <w:r>
        <w:rPr>
          <w:sz w:val="22"/>
          <w:szCs w:val="22"/>
        </w:rPr>
        <w:t xml:space="preserve"> </w:t>
      </w:r>
      <w:r>
        <w:rPr>
          <w:sz w:val="22"/>
          <w:szCs w:val="22"/>
          <w:lang w:val="id-ID"/>
        </w:rPr>
        <w:t xml:space="preserve">nyata dengan taraf panjang stek 15 dan 20 cm </w:t>
      </w:r>
      <w:r>
        <w:rPr>
          <w:sz w:val="22"/>
          <w:szCs w:val="22"/>
        </w:rPr>
        <w:t>seperti tabel.2</w:t>
      </w:r>
      <w:r>
        <w:rPr>
          <w:sz w:val="22"/>
          <w:szCs w:val="22"/>
          <w:lang w:val="id-ID"/>
        </w:rPr>
        <w:t>.</w:t>
      </w:r>
    </w:p>
    <w:p>
      <w:pPr>
        <w:tabs>
          <w:tab w:val="left" w:pos="567"/>
        </w:tabs>
        <w:spacing w:line="360" w:lineRule="auto"/>
        <w:jc w:val="both"/>
        <w:rPr>
          <w:sz w:val="22"/>
          <w:szCs w:val="22"/>
          <w:lang w:val="id-ID"/>
        </w:rPr>
      </w:pPr>
    </w:p>
    <w:p>
      <w:pPr>
        <w:tabs>
          <w:tab w:val="left" w:pos="567"/>
        </w:tabs>
        <w:spacing w:line="360" w:lineRule="auto"/>
        <w:jc w:val="both"/>
        <w:rPr>
          <w:sz w:val="22"/>
          <w:szCs w:val="22"/>
          <w:lang w:val="id-ID"/>
        </w:rPr>
      </w:pPr>
    </w:p>
    <w:p>
      <w:pPr>
        <w:tabs>
          <w:tab w:val="left" w:pos="567"/>
        </w:tabs>
        <w:spacing w:line="360" w:lineRule="auto"/>
        <w:jc w:val="both"/>
        <w:rPr>
          <w:bCs/>
          <w:sz w:val="22"/>
          <w:szCs w:val="22"/>
          <w:lang w:val="id-ID"/>
        </w:rPr>
      </w:pPr>
      <w:r>
        <w:rPr>
          <w:sz w:val="22"/>
          <w:szCs w:val="22"/>
          <w:lang w:val="id-ID"/>
        </w:rPr>
        <w:t xml:space="preserve">  </w:t>
      </w:r>
    </w:p>
    <w:p>
      <w:pPr>
        <w:pStyle w:val="38"/>
        <w:ind w:left="851" w:hanging="851"/>
        <w:jc w:val="both"/>
        <w:rPr>
          <w:b/>
          <w:sz w:val="22"/>
          <w:szCs w:val="22"/>
        </w:rPr>
      </w:pPr>
      <w:r>
        <w:rPr>
          <w:b/>
          <w:sz w:val="22"/>
          <w:szCs w:val="22"/>
        </w:rPr>
        <w:t>Tabel 2. Rerata Jumlah Tunas Akibat Perlakuan Komposisi Media  Tanam (M) dan Perlakuan Tunggal Panjang Stek (S) Terhadap Pertumbuhan Bibit Bougenville</w:t>
      </w:r>
    </w:p>
    <w:p>
      <w:pPr>
        <w:pStyle w:val="38"/>
        <w:ind w:left="1701" w:hanging="1134"/>
        <w:jc w:val="both"/>
        <w:rPr>
          <w:sz w:val="22"/>
          <w:szCs w:val="22"/>
        </w:rPr>
      </w:pPr>
    </w:p>
    <w:tbl>
      <w:tblPr>
        <w:tblStyle w:val="12"/>
        <w:tblW w:w="4082" w:type="dxa"/>
        <w:jc w:val="center"/>
        <w:tblLayout w:type="autofit"/>
        <w:tblCellMar>
          <w:top w:w="0" w:type="dxa"/>
          <w:left w:w="108" w:type="dxa"/>
          <w:bottom w:w="0" w:type="dxa"/>
          <w:right w:w="108" w:type="dxa"/>
        </w:tblCellMar>
      </w:tblPr>
      <w:tblGrid>
        <w:gridCol w:w="1725"/>
        <w:gridCol w:w="1327"/>
        <w:gridCol w:w="1030"/>
      </w:tblGrid>
      <w:tr>
        <w:trPr>
          <w:trHeight w:val="583" w:hRule="atLeast"/>
          <w:jc w:val="center"/>
        </w:trPr>
        <w:tc>
          <w:tcPr>
            <w:tcW w:w="1725" w:type="dxa"/>
            <w:tcBorders>
              <w:top w:val="single" w:color="auto" w:sz="4" w:space="0"/>
              <w:bottom w:val="single" w:color="auto" w:sz="4" w:space="0"/>
            </w:tcBorders>
            <w:shd w:val="clear" w:color="auto" w:fill="auto"/>
            <w:vAlign w:val="bottom"/>
          </w:tcPr>
          <w:p>
            <w:pPr>
              <w:spacing w:before="120" w:after="120"/>
              <w:jc w:val="center"/>
              <w:rPr>
                <w:color w:val="000000"/>
                <w:sz w:val="22"/>
                <w:szCs w:val="22"/>
              </w:rPr>
            </w:pPr>
            <w:r>
              <w:rPr>
                <w:color w:val="000000"/>
                <w:sz w:val="22"/>
                <w:szCs w:val="22"/>
              </w:rPr>
              <w:t>Komposisi Media Tanam</w:t>
            </w:r>
          </w:p>
        </w:tc>
        <w:tc>
          <w:tcPr>
            <w:tcW w:w="2357" w:type="dxa"/>
            <w:gridSpan w:val="2"/>
            <w:tcBorders>
              <w:top w:val="single" w:color="auto" w:sz="4" w:space="0"/>
              <w:left w:val="nil"/>
              <w:bottom w:val="single" w:color="auto" w:sz="4" w:space="0"/>
            </w:tcBorders>
            <w:shd w:val="clear" w:color="auto" w:fill="auto"/>
            <w:vAlign w:val="center"/>
          </w:tcPr>
          <w:p>
            <w:pPr>
              <w:jc w:val="center"/>
              <w:rPr>
                <w:color w:val="000000"/>
                <w:sz w:val="22"/>
                <w:szCs w:val="22"/>
              </w:rPr>
            </w:pPr>
            <w:r>
              <w:rPr>
                <w:color w:val="000000"/>
                <w:sz w:val="22"/>
                <w:szCs w:val="22"/>
              </w:rPr>
              <w:t>Rerata Jumlah Tunas</w:t>
            </w:r>
          </w:p>
        </w:tc>
      </w:tr>
      <w:tr>
        <w:tblPrEx>
          <w:tblCellMar>
            <w:top w:w="0" w:type="dxa"/>
            <w:left w:w="108" w:type="dxa"/>
            <w:bottom w:w="0" w:type="dxa"/>
            <w:right w:w="108" w:type="dxa"/>
          </w:tblCellMar>
        </w:tblPrEx>
        <w:trPr>
          <w:trHeight w:val="315" w:hRule="atLeast"/>
          <w:jc w:val="center"/>
        </w:trPr>
        <w:tc>
          <w:tcPr>
            <w:tcW w:w="172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p>
        </w:tc>
        <w:tc>
          <w:tcPr>
            <w:tcW w:w="1327"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3,46</w:t>
            </w:r>
          </w:p>
        </w:tc>
        <w:tc>
          <w:tcPr>
            <w:tcW w:w="1030"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r>
      <w:tr>
        <w:tblPrEx>
          <w:tblCellMar>
            <w:top w:w="0" w:type="dxa"/>
            <w:left w:w="108" w:type="dxa"/>
            <w:bottom w:w="0" w:type="dxa"/>
            <w:right w:w="108" w:type="dxa"/>
          </w:tblCellMar>
        </w:tblPrEx>
        <w:trPr>
          <w:trHeight w:val="300" w:hRule="atLeast"/>
          <w:jc w:val="center"/>
        </w:trPr>
        <w:tc>
          <w:tcPr>
            <w:tcW w:w="172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p>
        </w:tc>
        <w:tc>
          <w:tcPr>
            <w:tcW w:w="1327"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4,12</w:t>
            </w:r>
          </w:p>
        </w:tc>
        <w:tc>
          <w:tcPr>
            <w:tcW w:w="1030"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b</w:t>
            </w:r>
          </w:p>
        </w:tc>
      </w:tr>
      <w:tr>
        <w:tblPrEx>
          <w:tblCellMar>
            <w:top w:w="0" w:type="dxa"/>
            <w:left w:w="108" w:type="dxa"/>
            <w:bottom w:w="0" w:type="dxa"/>
            <w:right w:w="108" w:type="dxa"/>
          </w:tblCellMar>
        </w:tblPrEx>
        <w:trPr>
          <w:trHeight w:val="300" w:hRule="atLeast"/>
          <w:jc w:val="center"/>
        </w:trPr>
        <w:tc>
          <w:tcPr>
            <w:tcW w:w="1725" w:type="dxa"/>
            <w:tcBorders>
              <w:top w:val="single" w:color="auto" w:sz="4" w:space="0"/>
              <w:bottom w:val="single" w:color="auto" w:sz="4" w:space="0"/>
            </w:tcBorders>
            <w:shd w:val="clear" w:color="auto" w:fill="auto"/>
            <w:noWrap/>
            <w:vAlign w:val="bottom"/>
          </w:tcPr>
          <w:p>
            <w:pPr>
              <w:jc w:val="center"/>
              <w:rPr>
                <w:b/>
                <w:color w:val="000000"/>
                <w:sz w:val="22"/>
                <w:szCs w:val="22"/>
              </w:rPr>
            </w:pPr>
            <w:r>
              <w:rPr>
                <w:b/>
                <w:color w:val="000000"/>
                <w:sz w:val="22"/>
                <w:szCs w:val="22"/>
                <w:lang w:val="id-ID"/>
              </w:rPr>
              <w:t>K</w:t>
            </w:r>
            <w:r>
              <w:rPr>
                <w:b/>
                <w:color w:val="000000"/>
                <w:sz w:val="22"/>
                <w:szCs w:val="22"/>
              </w:rPr>
              <w:t>2</w:t>
            </w:r>
          </w:p>
        </w:tc>
        <w:tc>
          <w:tcPr>
            <w:tcW w:w="1327" w:type="dxa"/>
            <w:tcBorders>
              <w:top w:val="nil"/>
              <w:left w:val="nil"/>
              <w:bottom w:val="single" w:color="auto" w:sz="4" w:space="0"/>
              <w:right w:val="nil"/>
            </w:tcBorders>
            <w:shd w:val="clear" w:color="auto" w:fill="auto"/>
            <w:noWrap/>
            <w:vAlign w:val="bottom"/>
          </w:tcPr>
          <w:p>
            <w:pPr>
              <w:jc w:val="right"/>
              <w:rPr>
                <w:b/>
                <w:color w:val="000000"/>
                <w:sz w:val="22"/>
                <w:szCs w:val="22"/>
              </w:rPr>
            </w:pPr>
            <w:r>
              <w:rPr>
                <w:b/>
                <w:color w:val="000000"/>
                <w:sz w:val="22"/>
                <w:szCs w:val="22"/>
              </w:rPr>
              <w:t>4,30</w:t>
            </w:r>
          </w:p>
        </w:tc>
        <w:tc>
          <w:tcPr>
            <w:tcW w:w="1030" w:type="dxa"/>
            <w:tcBorders>
              <w:top w:val="nil"/>
              <w:left w:val="nil"/>
              <w:bottom w:val="single" w:color="auto" w:sz="4" w:space="0"/>
            </w:tcBorders>
            <w:shd w:val="clear" w:color="auto" w:fill="auto"/>
            <w:noWrap/>
            <w:vAlign w:val="bottom"/>
          </w:tcPr>
          <w:p>
            <w:pPr>
              <w:jc w:val="center"/>
              <w:rPr>
                <w:b/>
                <w:color w:val="000000"/>
                <w:sz w:val="22"/>
                <w:szCs w:val="22"/>
              </w:rPr>
            </w:pPr>
            <w:r>
              <w:rPr>
                <w:b/>
                <w:color w:val="000000"/>
                <w:sz w:val="22"/>
                <w:szCs w:val="22"/>
              </w:rPr>
              <w:t>b</w:t>
            </w:r>
          </w:p>
        </w:tc>
      </w:tr>
      <w:tr>
        <w:tblPrEx>
          <w:tblCellMar>
            <w:top w:w="0" w:type="dxa"/>
            <w:left w:w="108" w:type="dxa"/>
            <w:bottom w:w="0" w:type="dxa"/>
            <w:right w:w="108" w:type="dxa"/>
          </w:tblCellMar>
        </w:tblPrEx>
        <w:trPr>
          <w:trHeight w:val="300" w:hRule="atLeast"/>
          <w:jc w:val="center"/>
        </w:trPr>
        <w:tc>
          <w:tcPr>
            <w:tcW w:w="172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BNT 5%</w:t>
            </w:r>
          </w:p>
        </w:tc>
        <w:tc>
          <w:tcPr>
            <w:tcW w:w="1327"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0,347</w:t>
            </w:r>
          </w:p>
        </w:tc>
        <w:tc>
          <w:tcPr>
            <w:tcW w:w="1030" w:type="dxa"/>
            <w:tcBorders>
              <w:top w:val="nil"/>
              <w:left w:val="nil"/>
              <w:bottom w:val="single" w:color="auto" w:sz="4" w:space="0"/>
            </w:tcBorders>
            <w:shd w:val="clear" w:color="auto" w:fill="auto"/>
            <w:noWrap/>
            <w:vAlign w:val="bottom"/>
          </w:tcPr>
          <w:p>
            <w:pPr>
              <w:rPr>
                <w:color w:val="000000"/>
                <w:sz w:val="22"/>
                <w:szCs w:val="22"/>
              </w:rPr>
            </w:pPr>
            <w:r>
              <w:rPr>
                <w:color w:val="000000"/>
                <w:sz w:val="22"/>
                <w:szCs w:val="22"/>
              </w:rPr>
              <w:t> </w:t>
            </w:r>
          </w:p>
        </w:tc>
      </w:tr>
      <w:tr>
        <w:tblPrEx>
          <w:tblCellMar>
            <w:top w:w="0" w:type="dxa"/>
            <w:left w:w="108" w:type="dxa"/>
            <w:bottom w:w="0" w:type="dxa"/>
            <w:right w:w="108" w:type="dxa"/>
          </w:tblCellMar>
        </w:tblPrEx>
        <w:trPr>
          <w:trHeight w:val="300" w:hRule="atLeast"/>
          <w:jc w:val="center"/>
        </w:trPr>
        <w:tc>
          <w:tcPr>
            <w:tcW w:w="1725" w:type="dxa"/>
            <w:tcBorders>
              <w:top w:val="single" w:color="auto" w:sz="4" w:space="0"/>
              <w:bottom w:val="single" w:color="auto" w:sz="4" w:space="0"/>
            </w:tcBorders>
            <w:shd w:val="clear" w:color="auto" w:fill="auto"/>
            <w:noWrap/>
            <w:vAlign w:val="bottom"/>
          </w:tcPr>
          <w:p>
            <w:pPr>
              <w:spacing w:before="120" w:after="120"/>
              <w:jc w:val="center"/>
              <w:rPr>
                <w:color w:val="000000"/>
                <w:sz w:val="22"/>
                <w:szCs w:val="22"/>
              </w:rPr>
            </w:pPr>
            <w:r>
              <w:rPr>
                <w:color w:val="000000"/>
                <w:sz w:val="22"/>
                <w:szCs w:val="22"/>
              </w:rPr>
              <w:t xml:space="preserve">Panjang Stek </w:t>
            </w:r>
          </w:p>
        </w:tc>
        <w:tc>
          <w:tcPr>
            <w:tcW w:w="2357" w:type="dxa"/>
            <w:gridSpan w:val="2"/>
            <w:tcBorders>
              <w:top w:val="single" w:color="auto" w:sz="4" w:space="0"/>
              <w:left w:val="nil"/>
              <w:bottom w:val="single" w:color="auto" w:sz="4" w:space="0"/>
            </w:tcBorders>
            <w:shd w:val="clear" w:color="auto" w:fill="auto"/>
            <w:vAlign w:val="center"/>
          </w:tcPr>
          <w:p>
            <w:pPr>
              <w:jc w:val="center"/>
              <w:rPr>
                <w:color w:val="000000"/>
                <w:sz w:val="22"/>
                <w:szCs w:val="22"/>
              </w:rPr>
            </w:pPr>
            <w:r>
              <w:rPr>
                <w:color w:val="000000"/>
                <w:sz w:val="22"/>
                <w:szCs w:val="22"/>
              </w:rPr>
              <w:t>Rerata Jumlah Tunas</w:t>
            </w:r>
          </w:p>
        </w:tc>
      </w:tr>
      <w:tr>
        <w:tblPrEx>
          <w:tblCellMar>
            <w:top w:w="0" w:type="dxa"/>
            <w:left w:w="108" w:type="dxa"/>
            <w:bottom w:w="0" w:type="dxa"/>
            <w:right w:w="108" w:type="dxa"/>
          </w:tblCellMar>
        </w:tblPrEx>
        <w:trPr>
          <w:trHeight w:val="300" w:hRule="atLeast"/>
          <w:jc w:val="center"/>
        </w:trPr>
        <w:tc>
          <w:tcPr>
            <w:tcW w:w="172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P</w:t>
            </w:r>
            <w:r>
              <w:rPr>
                <w:color w:val="000000"/>
                <w:sz w:val="22"/>
                <w:szCs w:val="22"/>
              </w:rPr>
              <w:t>1</w:t>
            </w:r>
          </w:p>
        </w:tc>
        <w:tc>
          <w:tcPr>
            <w:tcW w:w="1327"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3,996</w:t>
            </w:r>
          </w:p>
        </w:tc>
        <w:tc>
          <w:tcPr>
            <w:tcW w:w="1030"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ab</w:t>
            </w:r>
          </w:p>
        </w:tc>
      </w:tr>
      <w:tr>
        <w:tblPrEx>
          <w:tblCellMar>
            <w:top w:w="0" w:type="dxa"/>
            <w:left w:w="108" w:type="dxa"/>
            <w:bottom w:w="0" w:type="dxa"/>
            <w:right w:w="108" w:type="dxa"/>
          </w:tblCellMar>
        </w:tblPrEx>
        <w:trPr>
          <w:trHeight w:val="375" w:hRule="atLeast"/>
          <w:jc w:val="center"/>
        </w:trPr>
        <w:tc>
          <w:tcPr>
            <w:tcW w:w="172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P</w:t>
            </w:r>
            <w:r>
              <w:rPr>
                <w:color w:val="000000"/>
                <w:sz w:val="22"/>
                <w:szCs w:val="22"/>
              </w:rPr>
              <w:t>2</w:t>
            </w:r>
          </w:p>
        </w:tc>
        <w:tc>
          <w:tcPr>
            <w:tcW w:w="1327"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4,010</w:t>
            </w:r>
          </w:p>
        </w:tc>
        <w:tc>
          <w:tcPr>
            <w:tcW w:w="1030" w:type="dxa"/>
            <w:tcBorders>
              <w:top w:val="nil"/>
              <w:left w:val="nil"/>
              <w:bottom w:val="single" w:color="auto" w:sz="4" w:space="0"/>
            </w:tcBorders>
            <w:shd w:val="clear" w:color="auto" w:fill="auto"/>
            <w:noWrap/>
            <w:vAlign w:val="bottom"/>
          </w:tcPr>
          <w:p>
            <w:pPr>
              <w:rPr>
                <w:color w:val="000000"/>
                <w:sz w:val="22"/>
                <w:szCs w:val="22"/>
              </w:rPr>
            </w:pPr>
            <w:r>
              <w:rPr>
                <w:color w:val="000000"/>
                <w:sz w:val="22"/>
                <w:szCs w:val="22"/>
              </w:rPr>
              <w:t xml:space="preserve">      b</w:t>
            </w:r>
          </w:p>
        </w:tc>
      </w:tr>
      <w:tr>
        <w:tblPrEx>
          <w:tblCellMar>
            <w:top w:w="0" w:type="dxa"/>
            <w:left w:w="108" w:type="dxa"/>
            <w:bottom w:w="0" w:type="dxa"/>
            <w:right w:w="108" w:type="dxa"/>
          </w:tblCellMar>
        </w:tblPrEx>
        <w:trPr>
          <w:trHeight w:val="300" w:hRule="atLeast"/>
          <w:jc w:val="center"/>
        </w:trPr>
        <w:tc>
          <w:tcPr>
            <w:tcW w:w="1725" w:type="dxa"/>
            <w:tcBorders>
              <w:top w:val="single" w:color="auto" w:sz="4" w:space="0"/>
              <w:bottom w:val="single" w:color="auto" w:sz="4" w:space="0"/>
            </w:tcBorders>
            <w:shd w:val="clear" w:color="auto" w:fill="auto"/>
            <w:noWrap/>
            <w:vAlign w:val="bottom"/>
          </w:tcPr>
          <w:p>
            <w:pPr>
              <w:jc w:val="center"/>
              <w:rPr>
                <w:b/>
                <w:color w:val="000000"/>
                <w:sz w:val="22"/>
                <w:szCs w:val="22"/>
              </w:rPr>
            </w:pPr>
            <w:r>
              <w:rPr>
                <w:b/>
                <w:color w:val="000000"/>
                <w:sz w:val="22"/>
                <w:szCs w:val="22"/>
                <w:lang w:val="id-ID"/>
              </w:rPr>
              <w:t>P</w:t>
            </w:r>
            <w:r>
              <w:rPr>
                <w:b/>
                <w:color w:val="000000"/>
                <w:sz w:val="22"/>
                <w:szCs w:val="22"/>
              </w:rPr>
              <w:t>3</w:t>
            </w:r>
          </w:p>
        </w:tc>
        <w:tc>
          <w:tcPr>
            <w:tcW w:w="1327" w:type="dxa"/>
            <w:tcBorders>
              <w:top w:val="nil"/>
              <w:left w:val="nil"/>
              <w:bottom w:val="single" w:color="auto" w:sz="4" w:space="0"/>
              <w:right w:val="nil"/>
            </w:tcBorders>
            <w:shd w:val="clear" w:color="auto" w:fill="auto"/>
            <w:noWrap/>
            <w:vAlign w:val="bottom"/>
          </w:tcPr>
          <w:p>
            <w:pPr>
              <w:jc w:val="right"/>
              <w:rPr>
                <w:b/>
                <w:color w:val="000000"/>
                <w:sz w:val="22"/>
                <w:szCs w:val="22"/>
              </w:rPr>
            </w:pPr>
            <w:r>
              <w:rPr>
                <w:b/>
                <w:color w:val="000000"/>
                <w:sz w:val="22"/>
                <w:szCs w:val="22"/>
              </w:rPr>
              <w:t>4,141</w:t>
            </w:r>
          </w:p>
        </w:tc>
        <w:tc>
          <w:tcPr>
            <w:tcW w:w="1030" w:type="dxa"/>
            <w:tcBorders>
              <w:top w:val="nil"/>
              <w:left w:val="nil"/>
              <w:bottom w:val="single" w:color="auto" w:sz="4" w:space="0"/>
            </w:tcBorders>
            <w:shd w:val="clear" w:color="auto" w:fill="auto"/>
            <w:noWrap/>
            <w:vAlign w:val="bottom"/>
          </w:tcPr>
          <w:p>
            <w:pPr>
              <w:jc w:val="center"/>
              <w:rPr>
                <w:b/>
                <w:color w:val="000000"/>
                <w:sz w:val="22"/>
                <w:szCs w:val="22"/>
              </w:rPr>
            </w:pPr>
            <w:r>
              <w:rPr>
                <w:b/>
                <w:color w:val="000000"/>
                <w:sz w:val="22"/>
                <w:szCs w:val="22"/>
              </w:rPr>
              <w:t>b</w:t>
            </w:r>
          </w:p>
        </w:tc>
      </w:tr>
      <w:tr>
        <w:tblPrEx>
          <w:tblCellMar>
            <w:top w:w="0" w:type="dxa"/>
            <w:left w:w="108" w:type="dxa"/>
            <w:bottom w:w="0" w:type="dxa"/>
            <w:right w:w="108" w:type="dxa"/>
          </w:tblCellMar>
        </w:tblPrEx>
        <w:trPr>
          <w:trHeight w:val="300" w:hRule="atLeast"/>
          <w:jc w:val="center"/>
        </w:trPr>
        <w:tc>
          <w:tcPr>
            <w:tcW w:w="172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P</w:t>
            </w:r>
            <w:r>
              <w:rPr>
                <w:color w:val="000000"/>
                <w:sz w:val="22"/>
                <w:szCs w:val="22"/>
              </w:rPr>
              <w:t>4</w:t>
            </w:r>
          </w:p>
        </w:tc>
        <w:tc>
          <w:tcPr>
            <w:tcW w:w="1327"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3,601</w:t>
            </w:r>
          </w:p>
        </w:tc>
        <w:tc>
          <w:tcPr>
            <w:tcW w:w="1030"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r>
      <w:tr>
        <w:tblPrEx>
          <w:tblCellMar>
            <w:top w:w="0" w:type="dxa"/>
            <w:left w:w="108" w:type="dxa"/>
            <w:bottom w:w="0" w:type="dxa"/>
            <w:right w:w="108" w:type="dxa"/>
          </w:tblCellMar>
        </w:tblPrEx>
        <w:trPr>
          <w:trHeight w:val="377" w:hRule="atLeast"/>
          <w:jc w:val="center"/>
        </w:trPr>
        <w:tc>
          <w:tcPr>
            <w:tcW w:w="1725" w:type="dxa"/>
            <w:tcBorders>
              <w:top w:val="single" w:color="auto" w:sz="4" w:space="0"/>
              <w:bottom w:val="single" w:color="auto" w:sz="4" w:space="0"/>
            </w:tcBorders>
            <w:shd w:val="clear" w:color="auto" w:fill="auto"/>
            <w:noWrap/>
            <w:vAlign w:val="center"/>
          </w:tcPr>
          <w:p>
            <w:pPr>
              <w:jc w:val="center"/>
              <w:rPr>
                <w:color w:val="000000"/>
                <w:sz w:val="22"/>
                <w:szCs w:val="22"/>
              </w:rPr>
            </w:pPr>
            <w:r>
              <w:rPr>
                <w:color w:val="000000"/>
                <w:sz w:val="22"/>
                <w:szCs w:val="22"/>
              </w:rPr>
              <w:t>BNT 5%</w:t>
            </w:r>
          </w:p>
        </w:tc>
        <w:tc>
          <w:tcPr>
            <w:tcW w:w="1327" w:type="dxa"/>
            <w:tcBorders>
              <w:top w:val="nil"/>
              <w:left w:val="nil"/>
              <w:bottom w:val="single" w:color="auto" w:sz="4" w:space="0"/>
              <w:right w:val="nil"/>
            </w:tcBorders>
            <w:shd w:val="clear" w:color="auto" w:fill="auto"/>
            <w:noWrap/>
            <w:vAlign w:val="center"/>
          </w:tcPr>
          <w:p>
            <w:pPr>
              <w:jc w:val="right"/>
              <w:rPr>
                <w:color w:val="000000"/>
                <w:sz w:val="22"/>
                <w:szCs w:val="22"/>
              </w:rPr>
            </w:pPr>
            <w:r>
              <w:rPr>
                <w:color w:val="000000"/>
                <w:sz w:val="22"/>
                <w:szCs w:val="22"/>
              </w:rPr>
              <w:t>0,4616</w:t>
            </w:r>
          </w:p>
        </w:tc>
        <w:tc>
          <w:tcPr>
            <w:tcW w:w="1030" w:type="dxa"/>
            <w:tcBorders>
              <w:top w:val="nil"/>
              <w:left w:val="nil"/>
              <w:bottom w:val="single" w:color="auto" w:sz="4" w:space="0"/>
            </w:tcBorders>
            <w:shd w:val="clear" w:color="auto" w:fill="auto"/>
            <w:noWrap/>
            <w:vAlign w:val="bottom"/>
          </w:tcPr>
          <w:p>
            <w:pPr>
              <w:rPr>
                <w:color w:val="000000"/>
                <w:sz w:val="22"/>
                <w:szCs w:val="22"/>
              </w:rPr>
            </w:pPr>
            <w:r>
              <w:rPr>
                <w:color w:val="000000"/>
                <w:sz w:val="22"/>
                <w:szCs w:val="22"/>
              </w:rPr>
              <w:t> </w:t>
            </w:r>
          </w:p>
        </w:tc>
      </w:tr>
    </w:tbl>
    <w:p>
      <w:pPr>
        <w:ind w:left="2694" w:hanging="1276"/>
        <w:jc w:val="both"/>
        <w:rPr>
          <w:sz w:val="22"/>
          <w:szCs w:val="22"/>
        </w:rPr>
      </w:pPr>
      <w:r>
        <w:rPr>
          <w:sz w:val="22"/>
          <w:szCs w:val="22"/>
        </w:rPr>
        <w:t>Keterangan : Angka yang diikuti oleh huruf yang sama pada kolom dan perlakuaan yang sama berbeda sangat nyata pada uji BNT  5%;</w:t>
      </w:r>
    </w:p>
    <w:p>
      <w:pPr>
        <w:tabs>
          <w:tab w:val="left" w:pos="567"/>
        </w:tabs>
        <w:spacing w:line="360" w:lineRule="auto"/>
        <w:jc w:val="both"/>
        <w:rPr>
          <w:bCs/>
          <w:sz w:val="22"/>
          <w:szCs w:val="22"/>
        </w:rPr>
      </w:pPr>
    </w:p>
    <w:p>
      <w:pPr>
        <w:pStyle w:val="38"/>
        <w:spacing w:line="360" w:lineRule="auto"/>
        <w:ind w:left="0" w:firstLine="709"/>
        <w:jc w:val="both"/>
        <w:rPr>
          <w:sz w:val="22"/>
          <w:szCs w:val="22"/>
        </w:rPr>
      </w:pPr>
      <w:r>
        <w:rPr>
          <w:sz w:val="22"/>
          <w:szCs w:val="22"/>
        </w:rPr>
        <w:t xml:space="preserve">Jumlah tunas (helai) akibat perlakuan komposisi media tanam menunjukkan berbeda nyata pada perlakuan campuran  media  tanam tanah, kompos dan arang sekam (K2). Campuran tanah, kompos dan arang sekam memiliki sifat fisik tanah yang baik seperti tanah yang berpori dan drainase yang baik. Sehingga jumlah tunas lebih banyak dibanding dengan perlakuan media tanam yang lain seperti tanah dan kompos. </w:t>
      </w:r>
      <w:bookmarkStart w:id="9" w:name="_Hlk186121335"/>
      <w:r>
        <w:rPr>
          <w:rStyle w:val="128"/>
        </w:rPr>
        <w:t>Indranada (1989)</w:t>
      </w:r>
      <w:bookmarkEnd w:id="9"/>
      <w:r>
        <w:rPr>
          <w:rStyle w:val="128"/>
        </w:rPr>
        <w:t>, menjelaskan</w:t>
      </w:r>
      <w:r>
        <w:rPr>
          <w:color w:val="000000"/>
          <w:sz w:val="22"/>
          <w:szCs w:val="22"/>
        </w:rPr>
        <w:t xml:space="preserve"> </w:t>
      </w:r>
      <w:r>
        <w:rPr>
          <w:rStyle w:val="128"/>
        </w:rPr>
        <w:t>bahwa salah satu cara memperbaiki media tanam yang mempunyai drainase buruk</w:t>
      </w:r>
      <w:r>
        <w:rPr>
          <w:color w:val="000000"/>
          <w:sz w:val="22"/>
          <w:szCs w:val="22"/>
        </w:rPr>
        <w:t xml:space="preserve"> </w:t>
      </w:r>
      <w:r>
        <w:rPr>
          <w:rStyle w:val="128"/>
        </w:rPr>
        <w:t>adalah dengan menambahkan arang sekam pada media tersebut. Hal tersebut akan</w:t>
      </w:r>
      <w:r>
        <w:rPr>
          <w:color w:val="000000"/>
          <w:sz w:val="22"/>
          <w:szCs w:val="22"/>
        </w:rPr>
        <w:t xml:space="preserve"> </w:t>
      </w:r>
      <w:r>
        <w:rPr>
          <w:rStyle w:val="128"/>
        </w:rPr>
        <w:t>meningkatkan berat volume tanah (bulkdensity), sehingga tanah banyak memiliki</w:t>
      </w:r>
      <w:r>
        <w:rPr>
          <w:color w:val="000000"/>
          <w:sz w:val="22"/>
          <w:szCs w:val="22"/>
        </w:rPr>
        <w:t xml:space="preserve"> </w:t>
      </w:r>
      <w:r>
        <w:rPr>
          <w:rStyle w:val="128"/>
        </w:rPr>
        <w:t>pori-pori dan tidak padat. Kondisi tersebut</w:t>
      </w:r>
      <w:r>
        <w:rPr>
          <w:color w:val="000000"/>
          <w:sz w:val="22"/>
          <w:szCs w:val="22"/>
        </w:rPr>
        <w:t xml:space="preserve"> </w:t>
      </w:r>
      <w:r>
        <w:rPr>
          <w:rStyle w:val="128"/>
        </w:rPr>
        <w:t>akan meningkatkan ruang pori total dan  mempercepat drainase air tanah.</w:t>
      </w:r>
    </w:p>
    <w:p>
      <w:pPr>
        <w:pStyle w:val="82"/>
        <w:spacing w:line="360" w:lineRule="auto"/>
        <w:ind w:firstLine="709"/>
        <w:jc w:val="both"/>
        <w:rPr>
          <w:rFonts w:cs="Times New Roman" w:eastAsiaTheme="minorHAnsi"/>
          <w:lang w:eastAsia="id-ID"/>
        </w:rPr>
      </w:pPr>
      <w:r>
        <w:rPr>
          <w:sz w:val="22"/>
          <w:szCs w:val="22"/>
        </w:rPr>
        <w:t>Rerata panjang stek 25 cm (</w:t>
      </w:r>
      <w:r>
        <w:rPr>
          <w:sz w:val="22"/>
          <w:szCs w:val="22"/>
          <w:lang w:val="id-ID"/>
        </w:rPr>
        <w:t>P</w:t>
      </w:r>
      <w:r>
        <w:rPr>
          <w:sz w:val="22"/>
          <w:szCs w:val="22"/>
        </w:rPr>
        <w:t xml:space="preserve">3) tanaman Bougenville menumbuhkan jumlah tunas paling banyak, namun tidak berbeda nyata dengan panjang stek 20 cm (P2) dan 15 cm (P1).. Hal ini dikarenakan jumlah cadangan makanan pada stek dengan panjang 25 cm memiliki kandungan cadangan makanan yang cukup dan baik untuk pertumbuhan jumlah tunas pada stek tanaman Bougenville. Ukuran stek berpengaruh terhadap keberhasilan perbanyakan tanaman. Semakin besar lingkaran stek batang semakin besar peluangnya untuk hidup. Hal ini disebabkan kontribusi perbedaan akumulasi karbohidrat pada bagian bawah stek dan jumlahnya akan optimal untuk pembentukan akar pada stek yang panjang dibandingkan stek pendek </w:t>
      </w:r>
      <w:bookmarkStart w:id="10" w:name="_Hlk186121423"/>
      <w:r>
        <w:rPr>
          <w:sz w:val="22"/>
          <w:szCs w:val="22"/>
        </w:rPr>
        <w:t>(</w:t>
      </w:r>
      <w:r>
        <w:rPr>
          <w:rStyle w:val="128"/>
        </w:rPr>
        <w:t>Hartmaan dan Kester, 2002</w:t>
      </w:r>
      <w:r>
        <w:rPr>
          <w:sz w:val="22"/>
          <w:szCs w:val="22"/>
        </w:rPr>
        <w:t>).</w:t>
      </w:r>
      <w:bookmarkEnd w:id="10"/>
      <w:r>
        <w:rPr>
          <w:sz w:val="22"/>
          <w:szCs w:val="22"/>
        </w:rPr>
        <w:t xml:space="preserve"> Hasil terbaik pada kasus jarak pagar (</w:t>
      </w:r>
      <w:r>
        <w:rPr>
          <w:i/>
          <w:iCs/>
          <w:sz w:val="22"/>
          <w:szCs w:val="22"/>
        </w:rPr>
        <w:t xml:space="preserve">Jatropha curcas </w:t>
      </w:r>
      <w:r>
        <w:rPr>
          <w:sz w:val="22"/>
          <w:szCs w:val="22"/>
        </w:rPr>
        <w:t xml:space="preserve">L.) pada penelitian Mahmud </w:t>
      </w:r>
      <w:r>
        <w:rPr>
          <w:i/>
          <w:iCs/>
          <w:sz w:val="22"/>
          <w:szCs w:val="22"/>
        </w:rPr>
        <w:t>dkk</w:t>
      </w:r>
      <w:r>
        <w:rPr>
          <w:sz w:val="22"/>
          <w:szCs w:val="22"/>
        </w:rPr>
        <w:t xml:space="preserve">. (2006) </w:t>
      </w:r>
      <w:r>
        <w:rPr>
          <w:i/>
          <w:sz w:val="22"/>
          <w:szCs w:val="22"/>
        </w:rPr>
        <w:t>dalam</w:t>
      </w:r>
      <w:r>
        <w:rPr>
          <w:sz w:val="22"/>
          <w:szCs w:val="22"/>
        </w:rPr>
        <w:t xml:space="preserve"> Wahyu </w:t>
      </w:r>
      <w:r>
        <w:rPr>
          <w:i/>
          <w:iCs/>
          <w:sz w:val="22"/>
          <w:szCs w:val="22"/>
        </w:rPr>
        <w:t>et.al</w:t>
      </w:r>
      <w:r>
        <w:rPr>
          <w:sz w:val="22"/>
          <w:szCs w:val="22"/>
        </w:rPr>
        <w:t xml:space="preserve"> (2018) menggunakan stek batang dengan panjang 25 cm dan diameter 1-3 cm. Ketersediaan bahan makanan berupa karbohidrat dan nitrogen yang terkandung dalam bahan stek yang digunakan cukup untuk menumbuhkan tanaman</w:t>
      </w:r>
      <w:bookmarkStart w:id="11" w:name="_Hlk186111015"/>
      <w:r>
        <w:rPr>
          <w:sz w:val="22"/>
          <w:szCs w:val="22"/>
        </w:rPr>
        <w:t xml:space="preserve"> (Fandi Ahmad, 2020)</w:t>
      </w:r>
    </w:p>
    <w:bookmarkEnd w:id="11"/>
    <w:p>
      <w:pPr>
        <w:pStyle w:val="38"/>
        <w:numPr>
          <w:ilvl w:val="0"/>
          <w:numId w:val="4"/>
        </w:numPr>
        <w:spacing w:after="160" w:line="259" w:lineRule="auto"/>
        <w:ind w:left="567" w:hanging="567"/>
        <w:jc w:val="both"/>
        <w:rPr>
          <w:b/>
        </w:rPr>
      </w:pPr>
      <w:r>
        <w:rPr>
          <w:b/>
        </w:rPr>
        <w:t>Panjang Tunas</w:t>
      </w:r>
    </w:p>
    <w:p>
      <w:pPr>
        <w:spacing w:line="360" w:lineRule="auto"/>
        <w:ind w:firstLine="567"/>
        <w:jc w:val="both"/>
        <w:rPr>
          <w:rFonts w:eastAsia="Calibri"/>
          <w:sz w:val="22"/>
          <w:szCs w:val="22"/>
        </w:rPr>
      </w:pPr>
      <w:r>
        <w:rPr>
          <w:rFonts w:eastAsia="Calibri"/>
          <w:sz w:val="22"/>
          <w:szCs w:val="22"/>
        </w:rPr>
        <w:t>Hasil analisa ragam parameter panjang tunas yang terbentuk pada perlakuan tunggal komposisi media tanam menunjukkan pengaruh berbeda nyata. Sedangkan perlakuan tunggal panjang stek dan interaksi atas ekdua perlakuan tidak memberikan pengaruh berbeda nyata.</w:t>
      </w:r>
    </w:p>
    <w:p>
      <w:pPr>
        <w:tabs>
          <w:tab w:val="left" w:pos="567"/>
        </w:tabs>
        <w:spacing w:line="360" w:lineRule="auto"/>
        <w:jc w:val="both"/>
        <w:rPr>
          <w:sz w:val="22"/>
          <w:szCs w:val="22"/>
        </w:rPr>
      </w:pPr>
      <w:r>
        <w:rPr>
          <w:sz w:val="22"/>
          <w:szCs w:val="22"/>
        </w:rPr>
        <w:tab/>
      </w:r>
      <w:r>
        <w:rPr>
          <w:sz w:val="22"/>
          <w:szCs w:val="22"/>
        </w:rPr>
        <w:t>Rata-rata Komposisi media tanam campuran tanah, kompos dan arang sekam (K2) merupakan media yang cocok untuk pertumbuhan stek meski tidak berbeda nyata dengan komposisi campuran media tanam K1 (tanah dan kompos). Namun demikian jika media tanam yang dipakai hanya menggunakan tanah dapat terjadi draenase kurang baik sehingga akan mempengaruhi pertumbuhan stek. Komposisi media  tanam yang tepat denngan kemampuan ketersediaan hara yang cukup, aerasi dan draenase yang baik akan mendukung pertumbuhan akar dan pembentukan tunas sehingga menjadi tanaman baru. Komposisi media tanam yang porous juga menjadi faktor dalam pertumbuhan selanjutnya. Pemenuhan nutrisi yang terkandung dalam media tanam akan menstimulasi akar mengabsorbsi untuk proses fotosintesis pada  daun yang telah membuka sempurna, selanjutnya hasil asimilasi yang terjadi akan ditranslokasikan oleh jaringan floem ke bagian tubuh tanaman yang lain termasuk penambahan panjang tunas stek.</w:t>
      </w:r>
    </w:p>
    <w:p>
      <w:pPr>
        <w:tabs>
          <w:tab w:val="left" w:pos="567"/>
        </w:tabs>
        <w:spacing w:line="360" w:lineRule="auto"/>
        <w:jc w:val="both"/>
        <w:rPr>
          <w:sz w:val="22"/>
          <w:szCs w:val="22"/>
        </w:rPr>
      </w:pPr>
    </w:p>
    <w:p>
      <w:pPr>
        <w:ind w:left="709" w:hanging="709"/>
        <w:jc w:val="both"/>
        <w:rPr>
          <w:b/>
          <w:sz w:val="22"/>
          <w:szCs w:val="22"/>
        </w:rPr>
      </w:pPr>
      <w:r>
        <w:rPr>
          <w:b/>
          <w:sz w:val="22"/>
          <w:szCs w:val="22"/>
        </w:rPr>
        <w:t>Tabel 3. Rerata Panjang Tunas (cm) Akibat Perlakuan Komposisi Media Tanam (K) dan Perlakuan Tunggal Panjang Stek (P) Terhadap Pertumbuhan Bibit Bougenville</w:t>
      </w:r>
    </w:p>
    <w:p>
      <w:pPr>
        <w:pStyle w:val="38"/>
        <w:ind w:left="1701" w:hanging="1134"/>
        <w:jc w:val="both"/>
        <w:rPr>
          <w:sz w:val="22"/>
          <w:szCs w:val="22"/>
        </w:rPr>
      </w:pPr>
    </w:p>
    <w:tbl>
      <w:tblPr>
        <w:tblStyle w:val="12"/>
        <w:tblW w:w="4673" w:type="dxa"/>
        <w:jc w:val="center"/>
        <w:tblLayout w:type="autofit"/>
        <w:tblCellMar>
          <w:top w:w="0" w:type="dxa"/>
          <w:left w:w="108" w:type="dxa"/>
          <w:bottom w:w="0" w:type="dxa"/>
          <w:right w:w="108" w:type="dxa"/>
        </w:tblCellMar>
      </w:tblPr>
      <w:tblGrid>
        <w:gridCol w:w="2547"/>
        <w:gridCol w:w="1239"/>
        <w:gridCol w:w="887"/>
      </w:tblGrid>
      <w:tr>
        <w:tblPrEx>
          <w:tblCellMar>
            <w:top w:w="0" w:type="dxa"/>
            <w:left w:w="108" w:type="dxa"/>
            <w:bottom w:w="0" w:type="dxa"/>
            <w:right w:w="108" w:type="dxa"/>
          </w:tblCellMar>
        </w:tblPrEx>
        <w:trPr>
          <w:trHeight w:val="441" w:hRule="atLeast"/>
          <w:jc w:val="center"/>
        </w:trPr>
        <w:tc>
          <w:tcPr>
            <w:tcW w:w="2547" w:type="dxa"/>
            <w:tcBorders>
              <w:top w:val="single" w:color="auto" w:sz="4" w:space="0"/>
              <w:bottom w:val="single" w:color="auto" w:sz="4" w:space="0"/>
            </w:tcBorders>
            <w:shd w:val="clear" w:color="auto" w:fill="auto"/>
            <w:vAlign w:val="bottom"/>
          </w:tcPr>
          <w:p>
            <w:pPr>
              <w:rPr>
                <w:color w:val="000000"/>
                <w:sz w:val="22"/>
                <w:szCs w:val="22"/>
              </w:rPr>
            </w:pPr>
            <w:r>
              <w:rPr>
                <w:color w:val="000000"/>
                <w:sz w:val="22"/>
                <w:szCs w:val="22"/>
              </w:rPr>
              <w:t>Komposisi Media Tanam</w:t>
            </w:r>
          </w:p>
        </w:tc>
        <w:tc>
          <w:tcPr>
            <w:tcW w:w="2126" w:type="dxa"/>
            <w:gridSpan w:val="2"/>
            <w:tcBorders>
              <w:top w:val="single" w:color="auto" w:sz="4" w:space="0"/>
              <w:left w:val="nil"/>
              <w:bottom w:val="single" w:color="auto" w:sz="4" w:space="0"/>
            </w:tcBorders>
            <w:shd w:val="clear" w:color="auto" w:fill="auto"/>
            <w:vAlign w:val="center"/>
          </w:tcPr>
          <w:p>
            <w:pPr>
              <w:jc w:val="center"/>
              <w:rPr>
                <w:color w:val="000000"/>
                <w:sz w:val="22"/>
                <w:szCs w:val="22"/>
              </w:rPr>
            </w:pPr>
            <w:r>
              <w:rPr>
                <w:color w:val="000000"/>
                <w:sz w:val="22"/>
                <w:szCs w:val="22"/>
              </w:rPr>
              <w:t>Rerata Panjang Tunas</w:t>
            </w:r>
          </w:p>
        </w:tc>
      </w:tr>
      <w:tr>
        <w:tblPrEx>
          <w:tblCellMar>
            <w:top w:w="0" w:type="dxa"/>
            <w:left w:w="108" w:type="dxa"/>
            <w:bottom w:w="0" w:type="dxa"/>
            <w:right w:w="108" w:type="dxa"/>
          </w:tblCellMar>
        </w:tblPrEx>
        <w:trPr>
          <w:trHeight w:val="300" w:hRule="atLeast"/>
          <w:jc w:val="center"/>
        </w:trPr>
        <w:tc>
          <w:tcPr>
            <w:tcW w:w="254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p>
        </w:tc>
        <w:tc>
          <w:tcPr>
            <w:tcW w:w="1239"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3,54</w:t>
            </w:r>
          </w:p>
        </w:tc>
        <w:tc>
          <w:tcPr>
            <w:tcW w:w="887"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r>
      <w:tr>
        <w:tblPrEx>
          <w:tblCellMar>
            <w:top w:w="0" w:type="dxa"/>
            <w:left w:w="108" w:type="dxa"/>
            <w:bottom w:w="0" w:type="dxa"/>
            <w:right w:w="108" w:type="dxa"/>
          </w:tblCellMar>
        </w:tblPrEx>
        <w:trPr>
          <w:trHeight w:val="300" w:hRule="atLeast"/>
          <w:jc w:val="center"/>
        </w:trPr>
        <w:tc>
          <w:tcPr>
            <w:tcW w:w="254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p>
        </w:tc>
        <w:tc>
          <w:tcPr>
            <w:tcW w:w="1239"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4,07</w:t>
            </w:r>
          </w:p>
        </w:tc>
        <w:tc>
          <w:tcPr>
            <w:tcW w:w="887"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b</w:t>
            </w:r>
          </w:p>
        </w:tc>
      </w:tr>
      <w:tr>
        <w:tblPrEx>
          <w:tblCellMar>
            <w:top w:w="0" w:type="dxa"/>
            <w:left w:w="108" w:type="dxa"/>
            <w:bottom w:w="0" w:type="dxa"/>
            <w:right w:w="108" w:type="dxa"/>
          </w:tblCellMar>
        </w:tblPrEx>
        <w:trPr>
          <w:trHeight w:val="300" w:hRule="atLeast"/>
          <w:jc w:val="center"/>
        </w:trPr>
        <w:tc>
          <w:tcPr>
            <w:tcW w:w="2547" w:type="dxa"/>
            <w:tcBorders>
              <w:top w:val="single" w:color="auto" w:sz="4" w:space="0"/>
              <w:bottom w:val="single" w:color="auto" w:sz="4" w:space="0"/>
            </w:tcBorders>
            <w:shd w:val="clear" w:color="auto" w:fill="auto"/>
            <w:noWrap/>
            <w:vAlign w:val="bottom"/>
          </w:tcPr>
          <w:p>
            <w:pPr>
              <w:jc w:val="center"/>
              <w:rPr>
                <w:b/>
                <w:color w:val="000000"/>
                <w:sz w:val="22"/>
                <w:szCs w:val="22"/>
              </w:rPr>
            </w:pPr>
            <w:r>
              <w:rPr>
                <w:b/>
                <w:color w:val="000000"/>
                <w:sz w:val="22"/>
                <w:szCs w:val="22"/>
                <w:lang w:val="id-ID"/>
              </w:rPr>
              <w:t>K</w:t>
            </w:r>
            <w:r>
              <w:rPr>
                <w:b/>
                <w:color w:val="000000"/>
                <w:sz w:val="22"/>
                <w:szCs w:val="22"/>
              </w:rPr>
              <w:t>2</w:t>
            </w:r>
          </w:p>
        </w:tc>
        <w:tc>
          <w:tcPr>
            <w:tcW w:w="1239" w:type="dxa"/>
            <w:tcBorders>
              <w:top w:val="nil"/>
              <w:left w:val="nil"/>
              <w:bottom w:val="single" w:color="auto" w:sz="4" w:space="0"/>
              <w:right w:val="nil"/>
            </w:tcBorders>
            <w:shd w:val="clear" w:color="auto" w:fill="auto"/>
            <w:noWrap/>
            <w:vAlign w:val="bottom"/>
          </w:tcPr>
          <w:p>
            <w:pPr>
              <w:jc w:val="right"/>
              <w:rPr>
                <w:b/>
                <w:color w:val="000000"/>
                <w:sz w:val="22"/>
                <w:szCs w:val="22"/>
              </w:rPr>
            </w:pPr>
            <w:r>
              <w:rPr>
                <w:b/>
                <w:color w:val="000000"/>
                <w:sz w:val="22"/>
                <w:szCs w:val="22"/>
              </w:rPr>
              <w:t>4,17</w:t>
            </w:r>
          </w:p>
        </w:tc>
        <w:tc>
          <w:tcPr>
            <w:tcW w:w="887" w:type="dxa"/>
            <w:tcBorders>
              <w:top w:val="nil"/>
              <w:left w:val="nil"/>
              <w:bottom w:val="single" w:color="auto" w:sz="4" w:space="0"/>
            </w:tcBorders>
            <w:shd w:val="clear" w:color="auto" w:fill="auto"/>
            <w:noWrap/>
            <w:vAlign w:val="bottom"/>
          </w:tcPr>
          <w:p>
            <w:pPr>
              <w:jc w:val="center"/>
              <w:rPr>
                <w:b/>
                <w:color w:val="000000"/>
                <w:sz w:val="22"/>
                <w:szCs w:val="22"/>
              </w:rPr>
            </w:pPr>
            <w:r>
              <w:rPr>
                <w:b/>
                <w:color w:val="000000"/>
                <w:sz w:val="22"/>
                <w:szCs w:val="22"/>
              </w:rPr>
              <w:t>b</w:t>
            </w:r>
          </w:p>
        </w:tc>
      </w:tr>
      <w:tr>
        <w:tblPrEx>
          <w:tblCellMar>
            <w:top w:w="0" w:type="dxa"/>
            <w:left w:w="108" w:type="dxa"/>
            <w:bottom w:w="0" w:type="dxa"/>
            <w:right w:w="108" w:type="dxa"/>
          </w:tblCellMar>
        </w:tblPrEx>
        <w:trPr>
          <w:trHeight w:val="300" w:hRule="atLeast"/>
          <w:jc w:val="center"/>
        </w:trPr>
        <w:tc>
          <w:tcPr>
            <w:tcW w:w="254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BNT 5%</w:t>
            </w:r>
          </w:p>
        </w:tc>
        <w:tc>
          <w:tcPr>
            <w:tcW w:w="1239"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0,498</w:t>
            </w:r>
          </w:p>
        </w:tc>
        <w:tc>
          <w:tcPr>
            <w:tcW w:w="887" w:type="dxa"/>
            <w:tcBorders>
              <w:top w:val="nil"/>
              <w:left w:val="nil"/>
              <w:bottom w:val="single" w:color="auto" w:sz="4" w:space="0"/>
            </w:tcBorders>
            <w:shd w:val="clear" w:color="auto" w:fill="auto"/>
            <w:noWrap/>
            <w:vAlign w:val="bottom"/>
          </w:tcPr>
          <w:p>
            <w:pPr>
              <w:rPr>
                <w:color w:val="000000"/>
                <w:sz w:val="22"/>
                <w:szCs w:val="22"/>
              </w:rPr>
            </w:pPr>
            <w:r>
              <w:rPr>
                <w:color w:val="000000"/>
                <w:sz w:val="22"/>
                <w:szCs w:val="22"/>
              </w:rPr>
              <w:t> </w:t>
            </w:r>
          </w:p>
        </w:tc>
      </w:tr>
      <w:tr>
        <w:tblPrEx>
          <w:tblCellMar>
            <w:top w:w="0" w:type="dxa"/>
            <w:left w:w="108" w:type="dxa"/>
            <w:bottom w:w="0" w:type="dxa"/>
            <w:right w:w="108" w:type="dxa"/>
          </w:tblCellMar>
        </w:tblPrEx>
        <w:trPr>
          <w:trHeight w:val="523" w:hRule="atLeast"/>
          <w:jc w:val="center"/>
        </w:trPr>
        <w:tc>
          <w:tcPr>
            <w:tcW w:w="2547" w:type="dxa"/>
            <w:tcBorders>
              <w:top w:val="single" w:color="auto" w:sz="4" w:space="0"/>
              <w:bottom w:val="single" w:color="auto" w:sz="4" w:space="0"/>
            </w:tcBorders>
            <w:shd w:val="clear" w:color="auto" w:fill="auto"/>
            <w:vAlign w:val="bottom"/>
          </w:tcPr>
          <w:p>
            <w:pPr>
              <w:jc w:val="center"/>
              <w:rPr>
                <w:color w:val="000000"/>
                <w:sz w:val="22"/>
                <w:szCs w:val="22"/>
              </w:rPr>
            </w:pPr>
            <w:r>
              <w:rPr>
                <w:color w:val="000000"/>
                <w:sz w:val="22"/>
                <w:szCs w:val="22"/>
              </w:rPr>
              <w:t xml:space="preserve">Panjang Stek </w:t>
            </w:r>
          </w:p>
        </w:tc>
        <w:tc>
          <w:tcPr>
            <w:tcW w:w="2126" w:type="dxa"/>
            <w:gridSpan w:val="2"/>
            <w:tcBorders>
              <w:top w:val="single" w:color="auto" w:sz="4" w:space="0"/>
              <w:left w:val="nil"/>
              <w:bottom w:val="single" w:color="auto" w:sz="4" w:space="0"/>
            </w:tcBorders>
            <w:shd w:val="clear" w:color="auto" w:fill="auto"/>
            <w:vAlign w:val="center"/>
          </w:tcPr>
          <w:p>
            <w:pPr>
              <w:jc w:val="center"/>
              <w:rPr>
                <w:color w:val="000000"/>
                <w:sz w:val="22"/>
                <w:szCs w:val="22"/>
              </w:rPr>
            </w:pPr>
            <w:r>
              <w:rPr>
                <w:color w:val="000000"/>
                <w:sz w:val="22"/>
                <w:szCs w:val="22"/>
              </w:rPr>
              <w:t>Rerata Panjang Tunas</w:t>
            </w:r>
          </w:p>
        </w:tc>
      </w:tr>
      <w:tr>
        <w:tblPrEx>
          <w:tblCellMar>
            <w:top w:w="0" w:type="dxa"/>
            <w:left w:w="108" w:type="dxa"/>
            <w:bottom w:w="0" w:type="dxa"/>
            <w:right w:w="108" w:type="dxa"/>
          </w:tblCellMar>
        </w:tblPrEx>
        <w:trPr>
          <w:trHeight w:val="300" w:hRule="atLeast"/>
          <w:jc w:val="center"/>
        </w:trPr>
        <w:tc>
          <w:tcPr>
            <w:tcW w:w="254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P</w:t>
            </w:r>
            <w:r>
              <w:rPr>
                <w:color w:val="000000"/>
                <w:sz w:val="22"/>
                <w:szCs w:val="22"/>
              </w:rPr>
              <w:t>1</w:t>
            </w:r>
          </w:p>
        </w:tc>
        <w:tc>
          <w:tcPr>
            <w:tcW w:w="1239"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3,85</w:t>
            </w:r>
          </w:p>
        </w:tc>
        <w:tc>
          <w:tcPr>
            <w:tcW w:w="887"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r>
      <w:tr>
        <w:tblPrEx>
          <w:tblCellMar>
            <w:top w:w="0" w:type="dxa"/>
            <w:left w:w="108" w:type="dxa"/>
            <w:bottom w:w="0" w:type="dxa"/>
            <w:right w:w="108" w:type="dxa"/>
          </w:tblCellMar>
        </w:tblPrEx>
        <w:trPr>
          <w:trHeight w:val="300" w:hRule="atLeast"/>
          <w:jc w:val="center"/>
        </w:trPr>
        <w:tc>
          <w:tcPr>
            <w:tcW w:w="2547" w:type="dxa"/>
            <w:tcBorders>
              <w:top w:val="single" w:color="auto" w:sz="4" w:space="0"/>
              <w:bottom w:val="single" w:color="auto" w:sz="4" w:space="0"/>
            </w:tcBorders>
            <w:shd w:val="clear" w:color="auto" w:fill="auto"/>
            <w:noWrap/>
            <w:vAlign w:val="bottom"/>
          </w:tcPr>
          <w:p>
            <w:pPr>
              <w:jc w:val="center"/>
              <w:rPr>
                <w:b/>
                <w:color w:val="000000"/>
                <w:sz w:val="22"/>
                <w:szCs w:val="22"/>
              </w:rPr>
            </w:pPr>
            <w:r>
              <w:rPr>
                <w:b/>
                <w:color w:val="000000"/>
                <w:sz w:val="22"/>
                <w:szCs w:val="22"/>
                <w:lang w:val="id-ID"/>
              </w:rPr>
              <w:t>P</w:t>
            </w:r>
            <w:r>
              <w:rPr>
                <w:b/>
                <w:color w:val="000000"/>
                <w:sz w:val="22"/>
                <w:szCs w:val="22"/>
              </w:rPr>
              <w:t>2</w:t>
            </w:r>
          </w:p>
        </w:tc>
        <w:tc>
          <w:tcPr>
            <w:tcW w:w="1239" w:type="dxa"/>
            <w:tcBorders>
              <w:top w:val="nil"/>
              <w:left w:val="nil"/>
              <w:bottom w:val="single" w:color="auto" w:sz="4" w:space="0"/>
              <w:right w:val="nil"/>
            </w:tcBorders>
            <w:shd w:val="clear" w:color="auto" w:fill="auto"/>
            <w:noWrap/>
            <w:vAlign w:val="bottom"/>
          </w:tcPr>
          <w:p>
            <w:pPr>
              <w:jc w:val="right"/>
              <w:rPr>
                <w:b/>
                <w:color w:val="000000"/>
                <w:sz w:val="22"/>
                <w:szCs w:val="22"/>
              </w:rPr>
            </w:pPr>
            <w:r>
              <w:rPr>
                <w:b/>
                <w:color w:val="000000"/>
                <w:sz w:val="22"/>
                <w:szCs w:val="22"/>
              </w:rPr>
              <w:t>4,08</w:t>
            </w:r>
          </w:p>
        </w:tc>
        <w:tc>
          <w:tcPr>
            <w:tcW w:w="887" w:type="dxa"/>
            <w:tcBorders>
              <w:top w:val="nil"/>
              <w:left w:val="nil"/>
              <w:bottom w:val="single" w:color="auto" w:sz="4" w:space="0"/>
            </w:tcBorders>
            <w:shd w:val="clear" w:color="auto" w:fill="auto"/>
            <w:noWrap/>
            <w:vAlign w:val="bottom"/>
          </w:tcPr>
          <w:p>
            <w:pPr>
              <w:jc w:val="center"/>
              <w:rPr>
                <w:b/>
                <w:color w:val="000000"/>
                <w:sz w:val="22"/>
                <w:szCs w:val="22"/>
              </w:rPr>
            </w:pPr>
            <w:r>
              <w:rPr>
                <w:b/>
                <w:color w:val="000000"/>
                <w:sz w:val="22"/>
                <w:szCs w:val="22"/>
              </w:rPr>
              <w:t>a</w:t>
            </w:r>
          </w:p>
        </w:tc>
      </w:tr>
      <w:tr>
        <w:tblPrEx>
          <w:tblCellMar>
            <w:top w:w="0" w:type="dxa"/>
            <w:left w:w="108" w:type="dxa"/>
            <w:bottom w:w="0" w:type="dxa"/>
            <w:right w:w="108" w:type="dxa"/>
          </w:tblCellMar>
        </w:tblPrEx>
        <w:trPr>
          <w:trHeight w:val="300" w:hRule="atLeast"/>
          <w:jc w:val="center"/>
        </w:trPr>
        <w:tc>
          <w:tcPr>
            <w:tcW w:w="254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P</w:t>
            </w:r>
            <w:r>
              <w:rPr>
                <w:color w:val="000000"/>
                <w:sz w:val="22"/>
                <w:szCs w:val="22"/>
              </w:rPr>
              <w:t>3</w:t>
            </w:r>
          </w:p>
        </w:tc>
        <w:tc>
          <w:tcPr>
            <w:tcW w:w="1239"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3,87</w:t>
            </w:r>
          </w:p>
        </w:tc>
        <w:tc>
          <w:tcPr>
            <w:tcW w:w="887"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r>
      <w:tr>
        <w:tblPrEx>
          <w:tblCellMar>
            <w:top w:w="0" w:type="dxa"/>
            <w:left w:w="108" w:type="dxa"/>
            <w:bottom w:w="0" w:type="dxa"/>
            <w:right w:w="108" w:type="dxa"/>
          </w:tblCellMar>
        </w:tblPrEx>
        <w:trPr>
          <w:trHeight w:val="300" w:hRule="atLeast"/>
          <w:jc w:val="center"/>
        </w:trPr>
        <w:tc>
          <w:tcPr>
            <w:tcW w:w="254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P</w:t>
            </w:r>
            <w:r>
              <w:rPr>
                <w:color w:val="000000"/>
                <w:sz w:val="22"/>
                <w:szCs w:val="22"/>
              </w:rPr>
              <w:t>4</w:t>
            </w:r>
          </w:p>
        </w:tc>
        <w:tc>
          <w:tcPr>
            <w:tcW w:w="1239"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3.91</w:t>
            </w:r>
          </w:p>
        </w:tc>
        <w:tc>
          <w:tcPr>
            <w:tcW w:w="887"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r>
      <w:tr>
        <w:tblPrEx>
          <w:tblCellMar>
            <w:top w:w="0" w:type="dxa"/>
            <w:left w:w="108" w:type="dxa"/>
            <w:bottom w:w="0" w:type="dxa"/>
            <w:right w:w="108" w:type="dxa"/>
          </w:tblCellMar>
        </w:tblPrEx>
        <w:trPr>
          <w:trHeight w:val="300" w:hRule="atLeast"/>
          <w:jc w:val="center"/>
        </w:trPr>
        <w:tc>
          <w:tcPr>
            <w:tcW w:w="2547" w:type="dxa"/>
            <w:tcBorders>
              <w:top w:val="single" w:color="auto" w:sz="4" w:space="0"/>
              <w:bottom w:val="single" w:color="auto" w:sz="4" w:space="0"/>
            </w:tcBorders>
            <w:shd w:val="clear" w:color="auto" w:fill="auto"/>
            <w:noWrap/>
            <w:vAlign w:val="center"/>
          </w:tcPr>
          <w:p>
            <w:pPr>
              <w:jc w:val="center"/>
              <w:rPr>
                <w:color w:val="000000"/>
                <w:sz w:val="22"/>
                <w:szCs w:val="22"/>
              </w:rPr>
            </w:pPr>
            <w:r>
              <w:rPr>
                <w:color w:val="000000"/>
                <w:sz w:val="22"/>
                <w:szCs w:val="22"/>
              </w:rPr>
              <w:t>BNT 5%</w:t>
            </w:r>
          </w:p>
        </w:tc>
        <w:tc>
          <w:tcPr>
            <w:tcW w:w="1239" w:type="dxa"/>
            <w:tcBorders>
              <w:top w:val="nil"/>
              <w:left w:val="nil"/>
              <w:bottom w:val="single" w:color="auto" w:sz="4" w:space="0"/>
              <w:right w:val="nil"/>
            </w:tcBorders>
            <w:shd w:val="clear" w:color="auto" w:fill="auto"/>
            <w:noWrap/>
            <w:vAlign w:val="center"/>
          </w:tcPr>
          <w:p>
            <w:pPr>
              <w:jc w:val="center"/>
              <w:rPr>
                <w:color w:val="000000"/>
                <w:sz w:val="22"/>
                <w:szCs w:val="22"/>
              </w:rPr>
            </w:pPr>
            <w:r>
              <w:rPr>
                <w:color w:val="000000"/>
                <w:sz w:val="22"/>
                <w:szCs w:val="22"/>
              </w:rPr>
              <w:t>-</w:t>
            </w:r>
          </w:p>
        </w:tc>
        <w:tc>
          <w:tcPr>
            <w:tcW w:w="887" w:type="dxa"/>
            <w:tcBorders>
              <w:top w:val="nil"/>
              <w:left w:val="nil"/>
              <w:bottom w:val="single" w:color="auto" w:sz="4" w:space="0"/>
            </w:tcBorders>
            <w:shd w:val="clear" w:color="auto" w:fill="auto"/>
            <w:noWrap/>
            <w:vAlign w:val="bottom"/>
          </w:tcPr>
          <w:p>
            <w:pPr>
              <w:rPr>
                <w:color w:val="000000"/>
                <w:sz w:val="22"/>
                <w:szCs w:val="22"/>
              </w:rPr>
            </w:pPr>
            <w:r>
              <w:rPr>
                <w:color w:val="000000"/>
                <w:sz w:val="22"/>
                <w:szCs w:val="22"/>
              </w:rPr>
              <w:t> </w:t>
            </w:r>
          </w:p>
        </w:tc>
      </w:tr>
    </w:tbl>
    <w:p>
      <w:pPr>
        <w:ind w:left="2694" w:hanging="1134"/>
        <w:jc w:val="both"/>
        <w:rPr>
          <w:sz w:val="22"/>
          <w:szCs w:val="22"/>
        </w:rPr>
      </w:pPr>
      <w:r>
        <w:rPr>
          <w:sz w:val="22"/>
          <w:szCs w:val="22"/>
        </w:rPr>
        <w:t>Keterangan : Angka yang diikuti oleh huruf yang sama pada kolom dan perlakuaan yang sama berbeda sangat nyata pada uji BNT  5%</w:t>
      </w:r>
    </w:p>
    <w:p>
      <w:pPr>
        <w:ind w:left="2694" w:hanging="1134"/>
        <w:jc w:val="both"/>
        <w:rPr>
          <w:sz w:val="22"/>
          <w:szCs w:val="22"/>
        </w:rPr>
      </w:pPr>
    </w:p>
    <w:p>
      <w:pPr>
        <w:tabs>
          <w:tab w:val="left" w:pos="567"/>
        </w:tabs>
        <w:spacing w:line="360" w:lineRule="auto"/>
        <w:jc w:val="both"/>
        <w:rPr>
          <w:bCs/>
          <w:sz w:val="22"/>
          <w:szCs w:val="22"/>
        </w:rPr>
      </w:pPr>
      <w:r>
        <w:rPr>
          <w:sz w:val="22"/>
          <w:szCs w:val="22"/>
        </w:rPr>
        <w:tab/>
      </w:r>
      <w:r>
        <w:rPr>
          <w:sz w:val="22"/>
          <w:szCs w:val="22"/>
        </w:rPr>
        <w:t xml:space="preserve">Rerata panjang tunas atas perlakuan panjang stek menunjukkan berbeda tidak nyata, namun demikian taraf panjang stek 20 cm  (P2) mempunyai tunas lebih panjang dibandingkan taraf perlakuan yang lain. Seperti hasil penelitian </w:t>
      </w:r>
      <w:bookmarkStart w:id="12" w:name="_Hlk186109085"/>
      <w:r>
        <w:rPr>
          <w:sz w:val="22"/>
          <w:szCs w:val="22"/>
        </w:rPr>
        <w:t xml:space="preserve">Fridia Arintya Ayuningtyas dan Sitawati (2019) </w:t>
      </w:r>
      <w:bookmarkEnd w:id="12"/>
      <w:r>
        <w:rPr>
          <w:sz w:val="22"/>
          <w:szCs w:val="22"/>
        </w:rPr>
        <w:t xml:space="preserve"> bahwa panjang stek 20 cm memberikan jumlah tunas paling banyak. Kondisi ini dimungkinkan adanya kandungan karbohidrat yang cukup dalam membentuk tunas dan pertumbuhannya.  Hal ini berdasarkan pendapat Durner (2013) bahwa ketika tunas berkembang maka tunas akan memproduksi auksin dan giberelin dalam jumlah banyak yang memacu pertumbuhan tunas.Bahan stek yang mengandung karbohidrat dan nitrogen yang cukup akan membentuk akar dan tunas.</w:t>
      </w:r>
    </w:p>
    <w:p>
      <w:pPr>
        <w:pStyle w:val="38"/>
        <w:numPr>
          <w:ilvl w:val="0"/>
          <w:numId w:val="4"/>
        </w:numPr>
        <w:tabs>
          <w:tab w:val="left" w:pos="426"/>
        </w:tabs>
        <w:spacing w:line="360" w:lineRule="auto"/>
        <w:ind w:hanging="1290"/>
        <w:jc w:val="both"/>
        <w:rPr>
          <w:b/>
          <w:sz w:val="22"/>
          <w:szCs w:val="22"/>
        </w:rPr>
      </w:pPr>
      <w:r>
        <w:rPr>
          <w:b/>
          <w:sz w:val="22"/>
          <w:szCs w:val="22"/>
        </w:rPr>
        <w:t>Jumlah Daun (Helai)</w:t>
      </w:r>
    </w:p>
    <w:p>
      <w:pPr>
        <w:spacing w:line="360" w:lineRule="auto"/>
        <w:ind w:firstLine="567"/>
        <w:jc w:val="both"/>
        <w:rPr>
          <w:rFonts w:eastAsia="Calibri"/>
          <w:sz w:val="24"/>
          <w:szCs w:val="24"/>
        </w:rPr>
      </w:pPr>
      <w:r>
        <w:rPr>
          <w:sz w:val="24"/>
          <w:szCs w:val="24"/>
        </w:rPr>
        <w:t>Analisa sidik ragam parameter jumlah daun perlakuan komposisi media tanam (K) dan panjang stek (P) menunjukkan bahwa parameter jumlah daun umur 14 HST menunjukkan berbeda tidak nyata pada semua perlakuan tunggal dan interaksinya. Parameter jumlah daun pada saat stek berumur 21 HST sampai dengan 84 HST menunjukkan berbeda nyata dan berbeda sangat nyata baik perlakuan tunggal komposisi media tanam (K) dan panjang stek (P) serta interaksinya pada tabel 4, selanjutnya dilakukan uji lanjutan menggunakan BNT 5% untuk mengetahui pengaruh beda nyata pada rerata perlakuan</w:t>
      </w:r>
    </w:p>
    <w:p>
      <w:pPr>
        <w:pStyle w:val="38"/>
        <w:ind w:left="993" w:hanging="993"/>
        <w:jc w:val="both"/>
        <w:rPr>
          <w:b/>
          <w:sz w:val="22"/>
          <w:szCs w:val="22"/>
        </w:rPr>
      </w:pPr>
      <w:r>
        <w:rPr>
          <w:b/>
          <w:sz w:val="22"/>
          <w:szCs w:val="22"/>
        </w:rPr>
        <w:t>Tabel 4  Rerata Jumlah Daun Akibat interaksi Perlakuan Komposisi Media Tanam (K) dan Perlakuan Tunggal Panjang Stek (P) Terhadap Pertumbuhan Bibit Bougenville umur 21 sampai 49 HST</w:t>
      </w:r>
    </w:p>
    <w:p>
      <w:pPr>
        <w:pStyle w:val="38"/>
        <w:ind w:left="993" w:hanging="993"/>
        <w:jc w:val="both"/>
        <w:rPr>
          <w:sz w:val="22"/>
          <w:szCs w:val="22"/>
        </w:rPr>
      </w:pPr>
    </w:p>
    <w:tbl>
      <w:tblPr>
        <w:tblStyle w:val="12"/>
        <w:tblW w:w="8140" w:type="dxa"/>
        <w:tblInd w:w="709" w:type="dxa"/>
        <w:tblLayout w:type="autofit"/>
        <w:tblCellMar>
          <w:top w:w="0" w:type="dxa"/>
          <w:left w:w="108" w:type="dxa"/>
          <w:bottom w:w="0" w:type="dxa"/>
          <w:right w:w="108" w:type="dxa"/>
        </w:tblCellMar>
      </w:tblPr>
      <w:tblGrid>
        <w:gridCol w:w="1235"/>
        <w:gridCol w:w="756"/>
        <w:gridCol w:w="534"/>
        <w:gridCol w:w="756"/>
        <w:gridCol w:w="654"/>
        <w:gridCol w:w="756"/>
        <w:gridCol w:w="678"/>
        <w:gridCol w:w="756"/>
        <w:gridCol w:w="216"/>
        <w:gridCol w:w="373"/>
        <w:gridCol w:w="876"/>
        <w:gridCol w:w="550"/>
      </w:tblGrid>
      <w:tr>
        <w:tblPrEx>
          <w:tblCellMar>
            <w:top w:w="0" w:type="dxa"/>
            <w:left w:w="108" w:type="dxa"/>
            <w:bottom w:w="0" w:type="dxa"/>
            <w:right w:w="108" w:type="dxa"/>
          </w:tblCellMar>
        </w:tblPrEx>
        <w:trPr>
          <w:trHeight w:val="300" w:hRule="atLeast"/>
        </w:trPr>
        <w:tc>
          <w:tcPr>
            <w:tcW w:w="1235" w:type="dxa"/>
            <w:tcBorders>
              <w:top w:val="single" w:color="auto" w:sz="4" w:space="0"/>
              <w:bottom w:val="single" w:color="auto" w:sz="4" w:space="0"/>
            </w:tcBorders>
            <w:shd w:val="clear" w:color="auto" w:fill="auto"/>
            <w:noWrap/>
            <w:vAlign w:val="center"/>
          </w:tcPr>
          <w:p>
            <w:pPr>
              <w:jc w:val="center"/>
              <w:rPr>
                <w:color w:val="000000"/>
                <w:sz w:val="22"/>
                <w:szCs w:val="22"/>
              </w:rPr>
            </w:pPr>
            <w:r>
              <w:rPr>
                <w:color w:val="000000"/>
                <w:sz w:val="22"/>
                <w:szCs w:val="22"/>
              </w:rPr>
              <w:t>Perlakuan</w:t>
            </w:r>
          </w:p>
        </w:tc>
        <w:tc>
          <w:tcPr>
            <w:tcW w:w="1290"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Umur 21 HST</w:t>
            </w:r>
          </w:p>
        </w:tc>
        <w:tc>
          <w:tcPr>
            <w:tcW w:w="1410" w:type="dxa"/>
            <w:gridSpan w:val="2"/>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Umur 28 HST</w:t>
            </w:r>
          </w:p>
        </w:tc>
        <w:tc>
          <w:tcPr>
            <w:tcW w:w="1434"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Umur 35 HST</w:t>
            </w:r>
          </w:p>
        </w:tc>
        <w:tc>
          <w:tcPr>
            <w:tcW w:w="1345" w:type="dxa"/>
            <w:gridSpan w:val="3"/>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Umur 42 HST</w:t>
            </w:r>
          </w:p>
        </w:tc>
        <w:tc>
          <w:tcPr>
            <w:tcW w:w="1426"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Umur 49 HST</w:t>
            </w:r>
          </w:p>
        </w:tc>
      </w:tr>
      <w:tr>
        <w:tblPrEx>
          <w:tblCellMar>
            <w:top w:w="0" w:type="dxa"/>
            <w:left w:w="108" w:type="dxa"/>
            <w:bottom w:w="0" w:type="dxa"/>
            <w:right w:w="108" w:type="dxa"/>
          </w:tblCellMar>
        </w:tblPrEx>
        <w:trPr>
          <w:trHeight w:val="300" w:hRule="atLeast"/>
        </w:trPr>
        <w:tc>
          <w:tcPr>
            <w:tcW w:w="123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1</w:t>
            </w:r>
          </w:p>
        </w:tc>
        <w:tc>
          <w:tcPr>
            <w:tcW w:w="756"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3,92</w:t>
            </w:r>
          </w:p>
        </w:tc>
        <w:tc>
          <w:tcPr>
            <w:tcW w:w="534"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ab</w:t>
            </w:r>
          </w:p>
        </w:tc>
        <w:tc>
          <w:tcPr>
            <w:tcW w:w="756" w:type="dxa"/>
            <w:tcBorders>
              <w:top w:val="nil"/>
              <w:bottom w:val="single" w:color="auto" w:sz="4" w:space="0"/>
            </w:tcBorders>
            <w:shd w:val="clear" w:color="auto" w:fill="auto"/>
            <w:noWrap/>
            <w:vAlign w:val="bottom"/>
          </w:tcPr>
          <w:p>
            <w:pPr>
              <w:jc w:val="right"/>
              <w:rPr>
                <w:color w:val="000000"/>
                <w:sz w:val="22"/>
                <w:szCs w:val="22"/>
              </w:rPr>
            </w:pPr>
            <w:r>
              <w:rPr>
                <w:color w:val="000000"/>
                <w:sz w:val="22"/>
                <w:szCs w:val="22"/>
              </w:rPr>
              <w:t>5,92</w:t>
            </w:r>
          </w:p>
        </w:tc>
        <w:tc>
          <w:tcPr>
            <w:tcW w:w="654"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bcd</w:t>
            </w:r>
          </w:p>
        </w:tc>
        <w:tc>
          <w:tcPr>
            <w:tcW w:w="756"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6,27</w:t>
            </w:r>
          </w:p>
        </w:tc>
        <w:tc>
          <w:tcPr>
            <w:tcW w:w="678"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ab</w:t>
            </w:r>
          </w:p>
        </w:tc>
        <w:tc>
          <w:tcPr>
            <w:tcW w:w="756"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7,51</w:t>
            </w:r>
          </w:p>
        </w:tc>
        <w:tc>
          <w:tcPr>
            <w:tcW w:w="589" w:type="dxa"/>
            <w:gridSpan w:val="2"/>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b</w:t>
            </w:r>
          </w:p>
        </w:tc>
        <w:tc>
          <w:tcPr>
            <w:tcW w:w="876"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8.44</w:t>
            </w:r>
          </w:p>
        </w:tc>
        <w:tc>
          <w:tcPr>
            <w:tcW w:w="550"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abc</w:t>
            </w:r>
          </w:p>
        </w:tc>
      </w:tr>
      <w:tr>
        <w:tblPrEx>
          <w:tblCellMar>
            <w:top w:w="0" w:type="dxa"/>
            <w:left w:w="108" w:type="dxa"/>
            <w:bottom w:w="0" w:type="dxa"/>
            <w:right w:w="108" w:type="dxa"/>
          </w:tblCellMar>
        </w:tblPrEx>
        <w:trPr>
          <w:trHeight w:val="300" w:hRule="atLeast"/>
        </w:trPr>
        <w:tc>
          <w:tcPr>
            <w:tcW w:w="123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2</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3,52</w:t>
            </w:r>
          </w:p>
        </w:tc>
        <w:tc>
          <w:tcPr>
            <w:tcW w:w="534" w:type="dxa"/>
            <w:tcBorders>
              <w:top w:val="nil"/>
              <w:left w:val="nil"/>
              <w:bottom w:val="nil"/>
            </w:tcBorders>
            <w:shd w:val="clear" w:color="auto" w:fill="auto"/>
            <w:noWrap/>
            <w:vAlign w:val="bottom"/>
          </w:tcPr>
          <w:p>
            <w:pPr>
              <w:jc w:val="center"/>
              <w:rPr>
                <w:color w:val="000000"/>
                <w:sz w:val="22"/>
                <w:szCs w:val="22"/>
              </w:rPr>
            </w:pPr>
            <w:r>
              <w:rPr>
                <w:color w:val="000000"/>
                <w:sz w:val="22"/>
                <w:szCs w:val="22"/>
              </w:rPr>
              <w:t>a</w:t>
            </w:r>
          </w:p>
        </w:tc>
        <w:tc>
          <w:tcPr>
            <w:tcW w:w="756" w:type="dxa"/>
            <w:tcBorders>
              <w:top w:val="single" w:color="auto" w:sz="4" w:space="0"/>
              <w:bottom w:val="single" w:color="auto" w:sz="4" w:space="0"/>
            </w:tcBorders>
            <w:shd w:val="clear" w:color="auto" w:fill="auto"/>
            <w:noWrap/>
            <w:vAlign w:val="bottom"/>
          </w:tcPr>
          <w:p>
            <w:pPr>
              <w:jc w:val="right"/>
              <w:rPr>
                <w:color w:val="000000"/>
                <w:sz w:val="22"/>
                <w:szCs w:val="22"/>
              </w:rPr>
            </w:pPr>
            <w:r>
              <w:rPr>
                <w:color w:val="000000"/>
                <w:sz w:val="22"/>
                <w:szCs w:val="22"/>
              </w:rPr>
              <w:t>4,75</w:t>
            </w:r>
          </w:p>
        </w:tc>
        <w:tc>
          <w:tcPr>
            <w:tcW w:w="6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5,38</w:t>
            </w:r>
          </w:p>
        </w:tc>
        <w:tc>
          <w:tcPr>
            <w:tcW w:w="678"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6,34</w:t>
            </w:r>
          </w:p>
        </w:tc>
        <w:tc>
          <w:tcPr>
            <w:tcW w:w="589"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c>
          <w:tcPr>
            <w:tcW w:w="87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7.25</w:t>
            </w:r>
          </w:p>
        </w:tc>
        <w:tc>
          <w:tcPr>
            <w:tcW w:w="55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r>
      <w:tr>
        <w:tblPrEx>
          <w:tblCellMar>
            <w:top w:w="0" w:type="dxa"/>
            <w:left w:w="108" w:type="dxa"/>
            <w:bottom w:w="0" w:type="dxa"/>
            <w:right w:w="108" w:type="dxa"/>
          </w:tblCellMar>
        </w:tblPrEx>
        <w:trPr>
          <w:trHeight w:val="300" w:hRule="atLeast"/>
        </w:trPr>
        <w:tc>
          <w:tcPr>
            <w:tcW w:w="123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3</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4,79</w:t>
            </w:r>
          </w:p>
        </w:tc>
        <w:tc>
          <w:tcPr>
            <w:tcW w:w="53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cd</w:t>
            </w:r>
          </w:p>
        </w:tc>
        <w:tc>
          <w:tcPr>
            <w:tcW w:w="756" w:type="dxa"/>
            <w:tcBorders>
              <w:top w:val="single" w:color="auto" w:sz="4" w:space="0"/>
              <w:bottom w:val="single" w:color="auto" w:sz="4" w:space="0"/>
            </w:tcBorders>
            <w:shd w:val="clear" w:color="auto" w:fill="auto"/>
            <w:noWrap/>
            <w:vAlign w:val="bottom"/>
          </w:tcPr>
          <w:p>
            <w:pPr>
              <w:jc w:val="right"/>
              <w:rPr>
                <w:color w:val="000000"/>
                <w:sz w:val="22"/>
                <w:szCs w:val="22"/>
              </w:rPr>
            </w:pPr>
            <w:r>
              <w:rPr>
                <w:color w:val="000000"/>
                <w:sz w:val="22"/>
                <w:szCs w:val="22"/>
              </w:rPr>
              <w:t>5,78</w:t>
            </w:r>
          </w:p>
        </w:tc>
        <w:tc>
          <w:tcPr>
            <w:tcW w:w="6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abc</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7,03</w:t>
            </w:r>
          </w:p>
        </w:tc>
        <w:tc>
          <w:tcPr>
            <w:tcW w:w="678"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7,97</w:t>
            </w:r>
          </w:p>
        </w:tc>
        <w:tc>
          <w:tcPr>
            <w:tcW w:w="589"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bc</w:t>
            </w:r>
          </w:p>
        </w:tc>
        <w:tc>
          <w:tcPr>
            <w:tcW w:w="87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8,64</w:t>
            </w:r>
          </w:p>
        </w:tc>
        <w:tc>
          <w:tcPr>
            <w:tcW w:w="55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bc</w:t>
            </w:r>
          </w:p>
        </w:tc>
      </w:tr>
      <w:tr>
        <w:tblPrEx>
          <w:tblCellMar>
            <w:top w:w="0" w:type="dxa"/>
            <w:left w:w="108" w:type="dxa"/>
            <w:bottom w:w="0" w:type="dxa"/>
            <w:right w:w="108" w:type="dxa"/>
          </w:tblCellMar>
        </w:tblPrEx>
        <w:trPr>
          <w:trHeight w:val="300" w:hRule="atLeast"/>
        </w:trPr>
        <w:tc>
          <w:tcPr>
            <w:tcW w:w="123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4</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5,07</w:t>
            </w:r>
          </w:p>
        </w:tc>
        <w:tc>
          <w:tcPr>
            <w:tcW w:w="534" w:type="dxa"/>
            <w:tcBorders>
              <w:top w:val="nil"/>
              <w:left w:val="nil"/>
              <w:bottom w:val="nil"/>
            </w:tcBorders>
            <w:shd w:val="clear" w:color="auto" w:fill="auto"/>
            <w:noWrap/>
            <w:vAlign w:val="bottom"/>
          </w:tcPr>
          <w:p>
            <w:pPr>
              <w:jc w:val="center"/>
              <w:rPr>
                <w:color w:val="000000"/>
                <w:sz w:val="22"/>
                <w:szCs w:val="22"/>
              </w:rPr>
            </w:pPr>
            <w:r>
              <w:rPr>
                <w:color w:val="000000"/>
                <w:sz w:val="22"/>
                <w:szCs w:val="22"/>
              </w:rPr>
              <w:t>def</w:t>
            </w:r>
          </w:p>
        </w:tc>
        <w:tc>
          <w:tcPr>
            <w:tcW w:w="756" w:type="dxa"/>
            <w:tcBorders>
              <w:top w:val="single" w:color="auto" w:sz="4" w:space="0"/>
              <w:bottom w:val="single" w:color="auto" w:sz="4" w:space="0"/>
            </w:tcBorders>
            <w:shd w:val="clear" w:color="auto" w:fill="auto"/>
            <w:noWrap/>
            <w:vAlign w:val="bottom"/>
          </w:tcPr>
          <w:p>
            <w:pPr>
              <w:jc w:val="right"/>
              <w:rPr>
                <w:color w:val="000000"/>
                <w:sz w:val="22"/>
                <w:szCs w:val="22"/>
              </w:rPr>
            </w:pPr>
            <w:r>
              <w:rPr>
                <w:color w:val="000000"/>
                <w:sz w:val="22"/>
                <w:szCs w:val="22"/>
              </w:rPr>
              <w:t>7,29</w:t>
            </w:r>
          </w:p>
        </w:tc>
        <w:tc>
          <w:tcPr>
            <w:tcW w:w="6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efg</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9,25</w:t>
            </w:r>
          </w:p>
        </w:tc>
        <w:tc>
          <w:tcPr>
            <w:tcW w:w="678"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de</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9,80</w:t>
            </w:r>
          </w:p>
        </w:tc>
        <w:tc>
          <w:tcPr>
            <w:tcW w:w="589"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de</w:t>
            </w:r>
          </w:p>
        </w:tc>
        <w:tc>
          <w:tcPr>
            <w:tcW w:w="87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10,88</w:t>
            </w:r>
          </w:p>
        </w:tc>
        <w:tc>
          <w:tcPr>
            <w:tcW w:w="55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w:t>
            </w:r>
          </w:p>
        </w:tc>
      </w:tr>
      <w:tr>
        <w:tblPrEx>
          <w:tblCellMar>
            <w:top w:w="0" w:type="dxa"/>
            <w:left w:w="108" w:type="dxa"/>
            <w:bottom w:w="0" w:type="dxa"/>
            <w:right w:w="108" w:type="dxa"/>
          </w:tblCellMar>
        </w:tblPrEx>
        <w:trPr>
          <w:trHeight w:val="300" w:hRule="atLeast"/>
        </w:trPr>
        <w:tc>
          <w:tcPr>
            <w:tcW w:w="123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K1P</w:t>
            </w:r>
            <w:r>
              <w:rPr>
                <w:color w:val="000000"/>
                <w:sz w:val="22"/>
                <w:szCs w:val="22"/>
              </w:rPr>
              <w:t>1</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4,43</w:t>
            </w:r>
          </w:p>
        </w:tc>
        <w:tc>
          <w:tcPr>
            <w:tcW w:w="53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bcd</w:t>
            </w:r>
          </w:p>
        </w:tc>
        <w:tc>
          <w:tcPr>
            <w:tcW w:w="756" w:type="dxa"/>
            <w:tcBorders>
              <w:top w:val="single" w:color="auto" w:sz="4" w:space="0"/>
              <w:bottom w:val="single" w:color="auto" w:sz="4" w:space="0"/>
            </w:tcBorders>
            <w:shd w:val="clear" w:color="auto" w:fill="auto"/>
            <w:noWrap/>
            <w:vAlign w:val="bottom"/>
          </w:tcPr>
          <w:p>
            <w:pPr>
              <w:jc w:val="right"/>
              <w:rPr>
                <w:color w:val="000000"/>
                <w:sz w:val="22"/>
                <w:szCs w:val="22"/>
              </w:rPr>
            </w:pPr>
            <w:r>
              <w:rPr>
                <w:color w:val="000000"/>
                <w:sz w:val="22"/>
                <w:szCs w:val="22"/>
              </w:rPr>
              <w:t>5,55</w:t>
            </w:r>
          </w:p>
        </w:tc>
        <w:tc>
          <w:tcPr>
            <w:tcW w:w="6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abc</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6,43</w:t>
            </w:r>
          </w:p>
        </w:tc>
        <w:tc>
          <w:tcPr>
            <w:tcW w:w="678"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7,26</w:t>
            </w:r>
          </w:p>
        </w:tc>
        <w:tc>
          <w:tcPr>
            <w:tcW w:w="589"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w:t>
            </w:r>
          </w:p>
        </w:tc>
        <w:tc>
          <w:tcPr>
            <w:tcW w:w="87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8,19</w:t>
            </w:r>
          </w:p>
        </w:tc>
        <w:tc>
          <w:tcPr>
            <w:tcW w:w="55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abc</w:t>
            </w:r>
          </w:p>
        </w:tc>
      </w:tr>
      <w:tr>
        <w:tblPrEx>
          <w:tblCellMar>
            <w:top w:w="0" w:type="dxa"/>
            <w:left w:w="108" w:type="dxa"/>
            <w:bottom w:w="0" w:type="dxa"/>
            <w:right w:w="108" w:type="dxa"/>
          </w:tblCellMar>
        </w:tblPrEx>
        <w:trPr>
          <w:trHeight w:val="300" w:hRule="atLeast"/>
        </w:trPr>
        <w:tc>
          <w:tcPr>
            <w:tcW w:w="123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2</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4,78</w:t>
            </w:r>
          </w:p>
        </w:tc>
        <w:tc>
          <w:tcPr>
            <w:tcW w:w="534" w:type="dxa"/>
            <w:tcBorders>
              <w:top w:val="nil"/>
              <w:left w:val="nil"/>
              <w:bottom w:val="nil"/>
            </w:tcBorders>
            <w:shd w:val="clear" w:color="auto" w:fill="auto"/>
            <w:noWrap/>
            <w:vAlign w:val="bottom"/>
          </w:tcPr>
          <w:p>
            <w:pPr>
              <w:jc w:val="center"/>
              <w:rPr>
                <w:color w:val="000000"/>
                <w:sz w:val="22"/>
                <w:szCs w:val="22"/>
              </w:rPr>
            </w:pPr>
            <w:r>
              <w:rPr>
                <w:color w:val="000000"/>
                <w:sz w:val="22"/>
                <w:szCs w:val="22"/>
              </w:rPr>
              <w:t>bcd</w:t>
            </w:r>
          </w:p>
        </w:tc>
        <w:tc>
          <w:tcPr>
            <w:tcW w:w="756" w:type="dxa"/>
            <w:tcBorders>
              <w:top w:val="single" w:color="auto" w:sz="4" w:space="0"/>
              <w:bottom w:val="single" w:color="auto" w:sz="4" w:space="0"/>
            </w:tcBorders>
            <w:shd w:val="clear" w:color="auto" w:fill="auto"/>
            <w:noWrap/>
            <w:vAlign w:val="bottom"/>
          </w:tcPr>
          <w:p>
            <w:pPr>
              <w:jc w:val="right"/>
              <w:rPr>
                <w:color w:val="000000"/>
                <w:sz w:val="22"/>
                <w:szCs w:val="22"/>
              </w:rPr>
            </w:pPr>
            <w:r>
              <w:rPr>
                <w:color w:val="000000"/>
                <w:sz w:val="22"/>
                <w:szCs w:val="22"/>
              </w:rPr>
              <w:t>6,50</w:t>
            </w:r>
          </w:p>
        </w:tc>
        <w:tc>
          <w:tcPr>
            <w:tcW w:w="6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cde</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7,19</w:t>
            </w:r>
          </w:p>
        </w:tc>
        <w:tc>
          <w:tcPr>
            <w:tcW w:w="678"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bc</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8,43</w:t>
            </w:r>
          </w:p>
        </w:tc>
        <w:tc>
          <w:tcPr>
            <w:tcW w:w="589"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bcd</w:t>
            </w:r>
          </w:p>
        </w:tc>
        <w:tc>
          <w:tcPr>
            <w:tcW w:w="87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9,29</w:t>
            </w:r>
          </w:p>
        </w:tc>
        <w:tc>
          <w:tcPr>
            <w:tcW w:w="55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c</w:t>
            </w:r>
          </w:p>
        </w:tc>
      </w:tr>
      <w:tr>
        <w:tblPrEx>
          <w:tblCellMar>
            <w:top w:w="0" w:type="dxa"/>
            <w:left w:w="108" w:type="dxa"/>
            <w:bottom w:w="0" w:type="dxa"/>
            <w:right w:w="108" w:type="dxa"/>
          </w:tblCellMar>
        </w:tblPrEx>
        <w:trPr>
          <w:trHeight w:val="300" w:hRule="atLeast"/>
        </w:trPr>
        <w:tc>
          <w:tcPr>
            <w:tcW w:w="123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3</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4,87</w:t>
            </w:r>
          </w:p>
        </w:tc>
        <w:tc>
          <w:tcPr>
            <w:tcW w:w="53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cde</w:t>
            </w:r>
          </w:p>
        </w:tc>
        <w:tc>
          <w:tcPr>
            <w:tcW w:w="756" w:type="dxa"/>
            <w:tcBorders>
              <w:top w:val="single" w:color="auto" w:sz="4" w:space="0"/>
              <w:bottom w:val="single" w:color="auto" w:sz="4" w:space="0"/>
            </w:tcBorders>
            <w:shd w:val="clear" w:color="auto" w:fill="auto"/>
            <w:noWrap/>
            <w:vAlign w:val="bottom"/>
          </w:tcPr>
          <w:p>
            <w:pPr>
              <w:jc w:val="right"/>
              <w:rPr>
                <w:color w:val="000000"/>
                <w:sz w:val="22"/>
                <w:szCs w:val="22"/>
              </w:rPr>
            </w:pPr>
            <w:r>
              <w:rPr>
                <w:color w:val="000000"/>
                <w:sz w:val="22"/>
                <w:szCs w:val="22"/>
              </w:rPr>
              <w:t>7,52</w:t>
            </w:r>
          </w:p>
        </w:tc>
        <w:tc>
          <w:tcPr>
            <w:tcW w:w="6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efg</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8,95</w:t>
            </w:r>
          </w:p>
        </w:tc>
        <w:tc>
          <w:tcPr>
            <w:tcW w:w="678"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de</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10,76</w:t>
            </w:r>
          </w:p>
        </w:tc>
        <w:tc>
          <w:tcPr>
            <w:tcW w:w="589"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ef</w:t>
            </w:r>
          </w:p>
        </w:tc>
        <w:tc>
          <w:tcPr>
            <w:tcW w:w="87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11,85</w:t>
            </w:r>
          </w:p>
        </w:tc>
        <w:tc>
          <w:tcPr>
            <w:tcW w:w="55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de</w:t>
            </w:r>
          </w:p>
        </w:tc>
      </w:tr>
      <w:tr>
        <w:tblPrEx>
          <w:tblCellMar>
            <w:top w:w="0" w:type="dxa"/>
            <w:left w:w="108" w:type="dxa"/>
            <w:bottom w:w="0" w:type="dxa"/>
            <w:right w:w="108" w:type="dxa"/>
          </w:tblCellMar>
        </w:tblPrEx>
        <w:trPr>
          <w:trHeight w:val="300" w:hRule="atLeast"/>
        </w:trPr>
        <w:tc>
          <w:tcPr>
            <w:tcW w:w="123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4</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5,56</w:t>
            </w:r>
          </w:p>
        </w:tc>
        <w:tc>
          <w:tcPr>
            <w:tcW w:w="534" w:type="dxa"/>
            <w:tcBorders>
              <w:top w:val="nil"/>
              <w:left w:val="nil"/>
              <w:bottom w:val="nil"/>
            </w:tcBorders>
            <w:shd w:val="clear" w:color="auto" w:fill="auto"/>
            <w:noWrap/>
            <w:vAlign w:val="bottom"/>
          </w:tcPr>
          <w:p>
            <w:pPr>
              <w:jc w:val="center"/>
              <w:rPr>
                <w:color w:val="000000"/>
                <w:sz w:val="22"/>
                <w:szCs w:val="22"/>
              </w:rPr>
            </w:pPr>
            <w:r>
              <w:rPr>
                <w:color w:val="000000"/>
                <w:sz w:val="22"/>
                <w:szCs w:val="22"/>
              </w:rPr>
              <w:t>ef</w:t>
            </w:r>
          </w:p>
        </w:tc>
        <w:tc>
          <w:tcPr>
            <w:tcW w:w="756" w:type="dxa"/>
            <w:tcBorders>
              <w:top w:val="single" w:color="auto" w:sz="4" w:space="0"/>
              <w:bottom w:val="single" w:color="auto" w:sz="4" w:space="0"/>
            </w:tcBorders>
            <w:shd w:val="clear" w:color="auto" w:fill="auto"/>
            <w:noWrap/>
            <w:vAlign w:val="bottom"/>
          </w:tcPr>
          <w:p>
            <w:pPr>
              <w:jc w:val="right"/>
              <w:rPr>
                <w:color w:val="000000"/>
                <w:sz w:val="22"/>
                <w:szCs w:val="22"/>
              </w:rPr>
            </w:pPr>
            <w:r>
              <w:rPr>
                <w:color w:val="000000"/>
                <w:sz w:val="22"/>
                <w:szCs w:val="22"/>
              </w:rPr>
              <w:t>6,94</w:t>
            </w:r>
          </w:p>
        </w:tc>
        <w:tc>
          <w:tcPr>
            <w:tcW w:w="6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def</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8,39</w:t>
            </w:r>
          </w:p>
        </w:tc>
        <w:tc>
          <w:tcPr>
            <w:tcW w:w="678"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cd</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9,36</w:t>
            </w:r>
          </w:p>
        </w:tc>
        <w:tc>
          <w:tcPr>
            <w:tcW w:w="589"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cde</w:t>
            </w:r>
          </w:p>
        </w:tc>
        <w:tc>
          <w:tcPr>
            <w:tcW w:w="87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10,72</w:t>
            </w:r>
          </w:p>
        </w:tc>
        <w:tc>
          <w:tcPr>
            <w:tcW w:w="55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w:t>
            </w:r>
          </w:p>
        </w:tc>
      </w:tr>
      <w:tr>
        <w:tblPrEx>
          <w:tblCellMar>
            <w:top w:w="0" w:type="dxa"/>
            <w:left w:w="108" w:type="dxa"/>
            <w:bottom w:w="0" w:type="dxa"/>
            <w:right w:w="108" w:type="dxa"/>
          </w:tblCellMar>
        </w:tblPrEx>
        <w:trPr>
          <w:trHeight w:val="300" w:hRule="atLeast"/>
        </w:trPr>
        <w:tc>
          <w:tcPr>
            <w:tcW w:w="123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K2P</w:t>
            </w:r>
            <w:r>
              <w:rPr>
                <w:color w:val="000000"/>
                <w:sz w:val="22"/>
                <w:szCs w:val="22"/>
              </w:rPr>
              <w:t>1</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4,05</w:t>
            </w:r>
          </w:p>
        </w:tc>
        <w:tc>
          <w:tcPr>
            <w:tcW w:w="53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w:t>
            </w:r>
          </w:p>
        </w:tc>
        <w:tc>
          <w:tcPr>
            <w:tcW w:w="756" w:type="dxa"/>
            <w:tcBorders>
              <w:top w:val="single" w:color="auto" w:sz="4" w:space="0"/>
              <w:bottom w:val="single" w:color="auto" w:sz="4" w:space="0"/>
            </w:tcBorders>
            <w:shd w:val="clear" w:color="auto" w:fill="auto"/>
            <w:noWrap/>
            <w:vAlign w:val="bottom"/>
          </w:tcPr>
          <w:p>
            <w:pPr>
              <w:jc w:val="right"/>
              <w:rPr>
                <w:color w:val="000000"/>
                <w:sz w:val="22"/>
                <w:szCs w:val="22"/>
              </w:rPr>
            </w:pPr>
            <w:r>
              <w:rPr>
                <w:color w:val="000000"/>
                <w:sz w:val="22"/>
                <w:szCs w:val="22"/>
              </w:rPr>
              <w:t>5,10</w:t>
            </w:r>
          </w:p>
        </w:tc>
        <w:tc>
          <w:tcPr>
            <w:tcW w:w="6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6,15</w:t>
            </w:r>
          </w:p>
        </w:tc>
        <w:tc>
          <w:tcPr>
            <w:tcW w:w="678"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7,17</w:t>
            </w:r>
          </w:p>
        </w:tc>
        <w:tc>
          <w:tcPr>
            <w:tcW w:w="589"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w:t>
            </w:r>
          </w:p>
        </w:tc>
        <w:tc>
          <w:tcPr>
            <w:tcW w:w="87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7,92</w:t>
            </w:r>
          </w:p>
        </w:tc>
        <w:tc>
          <w:tcPr>
            <w:tcW w:w="55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w:t>
            </w:r>
          </w:p>
        </w:tc>
      </w:tr>
      <w:tr>
        <w:tblPrEx>
          <w:tblCellMar>
            <w:top w:w="0" w:type="dxa"/>
            <w:left w:w="108" w:type="dxa"/>
            <w:bottom w:w="0" w:type="dxa"/>
            <w:right w:w="108" w:type="dxa"/>
          </w:tblCellMar>
        </w:tblPrEx>
        <w:trPr>
          <w:trHeight w:val="300" w:hRule="atLeast"/>
        </w:trPr>
        <w:tc>
          <w:tcPr>
            <w:tcW w:w="123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2</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4,95</w:t>
            </w:r>
          </w:p>
        </w:tc>
        <w:tc>
          <w:tcPr>
            <w:tcW w:w="534" w:type="dxa"/>
            <w:tcBorders>
              <w:top w:val="nil"/>
              <w:left w:val="nil"/>
              <w:bottom w:val="nil"/>
            </w:tcBorders>
            <w:shd w:val="clear" w:color="auto" w:fill="auto"/>
            <w:noWrap/>
            <w:vAlign w:val="bottom"/>
          </w:tcPr>
          <w:p>
            <w:pPr>
              <w:jc w:val="center"/>
              <w:rPr>
                <w:color w:val="000000"/>
                <w:sz w:val="22"/>
                <w:szCs w:val="22"/>
              </w:rPr>
            </w:pPr>
            <w:r>
              <w:rPr>
                <w:color w:val="000000"/>
                <w:sz w:val="22"/>
                <w:szCs w:val="22"/>
              </w:rPr>
              <w:t>cde</w:t>
            </w:r>
          </w:p>
        </w:tc>
        <w:tc>
          <w:tcPr>
            <w:tcW w:w="756" w:type="dxa"/>
            <w:tcBorders>
              <w:top w:val="single" w:color="auto" w:sz="4" w:space="0"/>
              <w:bottom w:val="single" w:color="auto" w:sz="4" w:space="0"/>
            </w:tcBorders>
            <w:shd w:val="clear" w:color="auto" w:fill="auto"/>
            <w:noWrap/>
            <w:vAlign w:val="bottom"/>
          </w:tcPr>
          <w:p>
            <w:pPr>
              <w:jc w:val="right"/>
              <w:rPr>
                <w:color w:val="000000"/>
                <w:sz w:val="22"/>
                <w:szCs w:val="22"/>
              </w:rPr>
            </w:pPr>
            <w:r>
              <w:rPr>
                <w:color w:val="000000"/>
                <w:sz w:val="22"/>
                <w:szCs w:val="22"/>
              </w:rPr>
              <w:t>7,78</w:t>
            </w:r>
          </w:p>
        </w:tc>
        <w:tc>
          <w:tcPr>
            <w:tcW w:w="6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fg</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9,67</w:t>
            </w:r>
          </w:p>
        </w:tc>
        <w:tc>
          <w:tcPr>
            <w:tcW w:w="678"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ef</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11,35</w:t>
            </w:r>
          </w:p>
        </w:tc>
        <w:tc>
          <w:tcPr>
            <w:tcW w:w="589"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f</w:t>
            </w:r>
          </w:p>
        </w:tc>
        <w:tc>
          <w:tcPr>
            <w:tcW w:w="87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11,97</w:t>
            </w:r>
          </w:p>
        </w:tc>
        <w:tc>
          <w:tcPr>
            <w:tcW w:w="55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de</w:t>
            </w:r>
          </w:p>
        </w:tc>
      </w:tr>
      <w:tr>
        <w:tblPrEx>
          <w:tblCellMar>
            <w:top w:w="0" w:type="dxa"/>
            <w:left w:w="108" w:type="dxa"/>
            <w:bottom w:w="0" w:type="dxa"/>
            <w:right w:w="108" w:type="dxa"/>
          </w:tblCellMar>
        </w:tblPrEx>
        <w:trPr>
          <w:trHeight w:val="300" w:hRule="atLeast"/>
        </w:trPr>
        <w:tc>
          <w:tcPr>
            <w:tcW w:w="1235" w:type="dxa"/>
            <w:tcBorders>
              <w:top w:val="single" w:color="auto" w:sz="4" w:space="0"/>
              <w:bottom w:val="single" w:color="auto" w:sz="4" w:space="0"/>
            </w:tcBorders>
            <w:shd w:val="clear" w:color="auto" w:fill="auto"/>
            <w:noWrap/>
            <w:vAlign w:val="bottom"/>
          </w:tcPr>
          <w:p>
            <w:pPr>
              <w:jc w:val="center"/>
              <w:rPr>
                <w:b/>
                <w:color w:val="000000"/>
                <w:sz w:val="22"/>
                <w:szCs w:val="22"/>
              </w:rPr>
            </w:pPr>
            <w:r>
              <w:rPr>
                <w:b/>
                <w:color w:val="000000"/>
                <w:sz w:val="22"/>
                <w:szCs w:val="22"/>
                <w:lang w:val="id-ID"/>
              </w:rPr>
              <w:t>K</w:t>
            </w:r>
            <w:r>
              <w:rPr>
                <w:b/>
                <w:color w:val="000000"/>
                <w:sz w:val="22"/>
                <w:szCs w:val="22"/>
              </w:rPr>
              <w:t>2</w:t>
            </w:r>
            <w:r>
              <w:rPr>
                <w:b/>
                <w:color w:val="000000"/>
                <w:sz w:val="22"/>
                <w:szCs w:val="22"/>
                <w:lang w:val="id-ID"/>
              </w:rPr>
              <w:t>P</w:t>
            </w:r>
            <w:r>
              <w:rPr>
                <w:b/>
                <w:color w:val="000000"/>
                <w:sz w:val="22"/>
                <w:szCs w:val="22"/>
              </w:rPr>
              <w:t>3</w:t>
            </w:r>
          </w:p>
        </w:tc>
        <w:tc>
          <w:tcPr>
            <w:tcW w:w="756" w:type="dxa"/>
            <w:tcBorders>
              <w:top w:val="single" w:color="auto" w:sz="4" w:space="0"/>
              <w:left w:val="nil"/>
              <w:bottom w:val="single" w:color="auto" w:sz="4" w:space="0"/>
              <w:right w:val="nil"/>
            </w:tcBorders>
            <w:shd w:val="clear" w:color="auto" w:fill="auto"/>
            <w:noWrap/>
            <w:vAlign w:val="bottom"/>
          </w:tcPr>
          <w:p>
            <w:pPr>
              <w:jc w:val="right"/>
              <w:rPr>
                <w:b/>
                <w:color w:val="000000"/>
                <w:sz w:val="22"/>
                <w:szCs w:val="22"/>
              </w:rPr>
            </w:pPr>
            <w:r>
              <w:rPr>
                <w:b/>
                <w:color w:val="000000"/>
                <w:sz w:val="22"/>
                <w:szCs w:val="22"/>
              </w:rPr>
              <w:t>5,97</w:t>
            </w:r>
          </w:p>
        </w:tc>
        <w:tc>
          <w:tcPr>
            <w:tcW w:w="534" w:type="dxa"/>
            <w:tcBorders>
              <w:top w:val="single" w:color="auto" w:sz="4" w:space="0"/>
              <w:left w:val="nil"/>
              <w:bottom w:val="single" w:color="auto" w:sz="4" w:space="0"/>
            </w:tcBorders>
            <w:shd w:val="clear" w:color="auto" w:fill="auto"/>
            <w:noWrap/>
            <w:vAlign w:val="bottom"/>
          </w:tcPr>
          <w:p>
            <w:pPr>
              <w:jc w:val="center"/>
              <w:rPr>
                <w:b/>
                <w:color w:val="000000"/>
                <w:sz w:val="22"/>
                <w:szCs w:val="22"/>
              </w:rPr>
            </w:pPr>
            <w:r>
              <w:rPr>
                <w:b/>
                <w:color w:val="000000"/>
                <w:sz w:val="22"/>
                <w:szCs w:val="22"/>
              </w:rPr>
              <w:t>f</w:t>
            </w:r>
          </w:p>
        </w:tc>
        <w:tc>
          <w:tcPr>
            <w:tcW w:w="756" w:type="dxa"/>
            <w:tcBorders>
              <w:top w:val="single" w:color="auto" w:sz="4" w:space="0"/>
              <w:bottom w:val="single" w:color="auto" w:sz="4" w:space="0"/>
            </w:tcBorders>
            <w:shd w:val="clear" w:color="auto" w:fill="auto"/>
            <w:noWrap/>
            <w:vAlign w:val="bottom"/>
          </w:tcPr>
          <w:p>
            <w:pPr>
              <w:jc w:val="right"/>
              <w:rPr>
                <w:b/>
                <w:color w:val="000000"/>
                <w:sz w:val="22"/>
                <w:szCs w:val="22"/>
              </w:rPr>
            </w:pPr>
            <w:r>
              <w:rPr>
                <w:b/>
                <w:color w:val="000000"/>
                <w:sz w:val="22"/>
                <w:szCs w:val="22"/>
              </w:rPr>
              <w:t>8,87</w:t>
            </w:r>
          </w:p>
        </w:tc>
        <w:tc>
          <w:tcPr>
            <w:tcW w:w="654" w:type="dxa"/>
            <w:tcBorders>
              <w:top w:val="single" w:color="auto" w:sz="4" w:space="0"/>
              <w:left w:val="nil"/>
              <w:bottom w:val="single" w:color="auto" w:sz="4" w:space="0"/>
            </w:tcBorders>
            <w:shd w:val="clear" w:color="auto" w:fill="auto"/>
            <w:noWrap/>
            <w:vAlign w:val="bottom"/>
          </w:tcPr>
          <w:p>
            <w:pPr>
              <w:jc w:val="center"/>
              <w:rPr>
                <w:b/>
                <w:color w:val="000000"/>
                <w:sz w:val="22"/>
                <w:szCs w:val="22"/>
              </w:rPr>
            </w:pPr>
            <w:r>
              <w:rPr>
                <w:b/>
                <w:color w:val="000000"/>
                <w:sz w:val="22"/>
                <w:szCs w:val="22"/>
              </w:rPr>
              <w:t>h</w:t>
            </w:r>
          </w:p>
        </w:tc>
        <w:tc>
          <w:tcPr>
            <w:tcW w:w="756" w:type="dxa"/>
            <w:tcBorders>
              <w:top w:val="single" w:color="auto" w:sz="4" w:space="0"/>
              <w:left w:val="nil"/>
              <w:bottom w:val="single" w:color="auto" w:sz="4" w:space="0"/>
              <w:right w:val="nil"/>
            </w:tcBorders>
            <w:shd w:val="clear" w:color="auto" w:fill="auto"/>
            <w:noWrap/>
            <w:vAlign w:val="bottom"/>
          </w:tcPr>
          <w:p>
            <w:pPr>
              <w:jc w:val="right"/>
              <w:rPr>
                <w:b/>
                <w:color w:val="000000"/>
                <w:sz w:val="22"/>
                <w:szCs w:val="22"/>
              </w:rPr>
            </w:pPr>
            <w:r>
              <w:rPr>
                <w:b/>
                <w:color w:val="000000"/>
                <w:sz w:val="22"/>
                <w:szCs w:val="22"/>
              </w:rPr>
              <w:t>10,85</w:t>
            </w:r>
          </w:p>
        </w:tc>
        <w:tc>
          <w:tcPr>
            <w:tcW w:w="678" w:type="dxa"/>
            <w:tcBorders>
              <w:top w:val="single" w:color="auto" w:sz="4" w:space="0"/>
              <w:left w:val="nil"/>
              <w:bottom w:val="single" w:color="auto" w:sz="4" w:space="0"/>
            </w:tcBorders>
            <w:shd w:val="clear" w:color="auto" w:fill="auto"/>
            <w:noWrap/>
            <w:vAlign w:val="bottom"/>
          </w:tcPr>
          <w:p>
            <w:pPr>
              <w:jc w:val="center"/>
              <w:rPr>
                <w:b/>
                <w:color w:val="000000"/>
                <w:sz w:val="22"/>
                <w:szCs w:val="22"/>
              </w:rPr>
            </w:pPr>
            <w:r>
              <w:rPr>
                <w:b/>
                <w:color w:val="000000"/>
                <w:sz w:val="22"/>
                <w:szCs w:val="22"/>
              </w:rPr>
              <w:t>f</w:t>
            </w:r>
          </w:p>
        </w:tc>
        <w:tc>
          <w:tcPr>
            <w:tcW w:w="756" w:type="dxa"/>
            <w:tcBorders>
              <w:top w:val="single" w:color="auto" w:sz="4" w:space="0"/>
              <w:left w:val="nil"/>
              <w:bottom w:val="single" w:color="auto" w:sz="4" w:space="0"/>
              <w:right w:val="nil"/>
            </w:tcBorders>
            <w:shd w:val="clear" w:color="auto" w:fill="auto"/>
            <w:noWrap/>
            <w:vAlign w:val="bottom"/>
          </w:tcPr>
          <w:p>
            <w:pPr>
              <w:jc w:val="right"/>
              <w:rPr>
                <w:b/>
                <w:color w:val="000000"/>
                <w:sz w:val="22"/>
                <w:szCs w:val="22"/>
              </w:rPr>
            </w:pPr>
            <w:r>
              <w:rPr>
                <w:b/>
                <w:color w:val="000000"/>
                <w:sz w:val="22"/>
                <w:szCs w:val="22"/>
              </w:rPr>
              <w:t>11,78</w:t>
            </w:r>
          </w:p>
        </w:tc>
        <w:tc>
          <w:tcPr>
            <w:tcW w:w="589" w:type="dxa"/>
            <w:gridSpan w:val="2"/>
            <w:tcBorders>
              <w:top w:val="single" w:color="auto" w:sz="4" w:space="0"/>
              <w:left w:val="nil"/>
              <w:bottom w:val="single" w:color="auto" w:sz="4" w:space="0"/>
            </w:tcBorders>
            <w:shd w:val="clear" w:color="auto" w:fill="auto"/>
            <w:noWrap/>
            <w:vAlign w:val="bottom"/>
          </w:tcPr>
          <w:p>
            <w:pPr>
              <w:jc w:val="center"/>
              <w:rPr>
                <w:b/>
                <w:color w:val="000000"/>
                <w:sz w:val="22"/>
                <w:szCs w:val="22"/>
              </w:rPr>
            </w:pPr>
            <w:r>
              <w:rPr>
                <w:b/>
                <w:color w:val="000000"/>
                <w:sz w:val="22"/>
                <w:szCs w:val="22"/>
              </w:rPr>
              <w:t>f</w:t>
            </w:r>
          </w:p>
        </w:tc>
        <w:tc>
          <w:tcPr>
            <w:tcW w:w="876" w:type="dxa"/>
            <w:tcBorders>
              <w:top w:val="single" w:color="auto" w:sz="4" w:space="0"/>
              <w:left w:val="nil"/>
              <w:bottom w:val="single" w:color="auto" w:sz="4" w:space="0"/>
              <w:right w:val="nil"/>
            </w:tcBorders>
            <w:shd w:val="clear" w:color="auto" w:fill="auto"/>
            <w:noWrap/>
            <w:vAlign w:val="bottom"/>
          </w:tcPr>
          <w:p>
            <w:pPr>
              <w:jc w:val="right"/>
              <w:rPr>
                <w:b/>
                <w:color w:val="000000"/>
                <w:sz w:val="22"/>
                <w:szCs w:val="22"/>
              </w:rPr>
            </w:pPr>
            <w:r>
              <w:rPr>
                <w:b/>
                <w:color w:val="000000"/>
                <w:sz w:val="22"/>
                <w:szCs w:val="22"/>
              </w:rPr>
              <w:t>12,30</w:t>
            </w:r>
          </w:p>
        </w:tc>
        <w:tc>
          <w:tcPr>
            <w:tcW w:w="550" w:type="dxa"/>
            <w:tcBorders>
              <w:top w:val="single" w:color="auto" w:sz="4" w:space="0"/>
              <w:left w:val="nil"/>
              <w:bottom w:val="single" w:color="auto" w:sz="4" w:space="0"/>
            </w:tcBorders>
            <w:shd w:val="clear" w:color="auto" w:fill="auto"/>
            <w:noWrap/>
            <w:vAlign w:val="bottom"/>
          </w:tcPr>
          <w:p>
            <w:pPr>
              <w:jc w:val="center"/>
              <w:rPr>
                <w:b/>
                <w:color w:val="000000"/>
                <w:sz w:val="22"/>
                <w:szCs w:val="22"/>
              </w:rPr>
            </w:pPr>
            <w:r>
              <w:rPr>
                <w:b/>
                <w:color w:val="000000"/>
                <w:sz w:val="22"/>
                <w:szCs w:val="22"/>
              </w:rPr>
              <w:t>e</w:t>
            </w:r>
          </w:p>
        </w:tc>
      </w:tr>
      <w:tr>
        <w:tblPrEx>
          <w:tblCellMar>
            <w:top w:w="0" w:type="dxa"/>
            <w:left w:w="108" w:type="dxa"/>
            <w:bottom w:w="0" w:type="dxa"/>
            <w:right w:w="108" w:type="dxa"/>
          </w:tblCellMar>
        </w:tblPrEx>
        <w:trPr>
          <w:trHeight w:val="300" w:hRule="atLeast"/>
        </w:trPr>
        <w:tc>
          <w:tcPr>
            <w:tcW w:w="123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4</w:t>
            </w:r>
          </w:p>
        </w:tc>
        <w:tc>
          <w:tcPr>
            <w:tcW w:w="756"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4,29</w:t>
            </w:r>
          </w:p>
        </w:tc>
        <w:tc>
          <w:tcPr>
            <w:tcW w:w="534"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bc</w:t>
            </w:r>
          </w:p>
        </w:tc>
        <w:tc>
          <w:tcPr>
            <w:tcW w:w="756" w:type="dxa"/>
            <w:tcBorders>
              <w:top w:val="single" w:color="auto" w:sz="4" w:space="0"/>
              <w:bottom w:val="single" w:color="auto" w:sz="4" w:space="0"/>
            </w:tcBorders>
            <w:shd w:val="clear" w:color="auto" w:fill="auto"/>
            <w:noWrap/>
            <w:vAlign w:val="bottom"/>
          </w:tcPr>
          <w:p>
            <w:pPr>
              <w:jc w:val="right"/>
              <w:rPr>
                <w:color w:val="000000"/>
                <w:sz w:val="22"/>
                <w:szCs w:val="22"/>
              </w:rPr>
            </w:pPr>
            <w:r>
              <w:rPr>
                <w:color w:val="000000"/>
                <w:sz w:val="22"/>
                <w:szCs w:val="22"/>
              </w:rPr>
              <w:t>8,05</w:t>
            </w:r>
          </w:p>
        </w:tc>
        <w:tc>
          <w:tcPr>
            <w:tcW w:w="6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gh</w:t>
            </w:r>
          </w:p>
        </w:tc>
        <w:tc>
          <w:tcPr>
            <w:tcW w:w="756"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10,00</w:t>
            </w:r>
          </w:p>
        </w:tc>
        <w:tc>
          <w:tcPr>
            <w:tcW w:w="678"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ef</w:t>
            </w:r>
          </w:p>
        </w:tc>
        <w:tc>
          <w:tcPr>
            <w:tcW w:w="756"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10,45</w:t>
            </w:r>
          </w:p>
        </w:tc>
        <w:tc>
          <w:tcPr>
            <w:tcW w:w="589"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ef</w:t>
            </w:r>
          </w:p>
        </w:tc>
        <w:tc>
          <w:tcPr>
            <w:tcW w:w="876"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11,55</w:t>
            </w:r>
          </w:p>
        </w:tc>
        <w:tc>
          <w:tcPr>
            <w:tcW w:w="55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de</w:t>
            </w:r>
          </w:p>
        </w:tc>
      </w:tr>
      <w:tr>
        <w:tblPrEx>
          <w:tblCellMar>
            <w:top w:w="0" w:type="dxa"/>
            <w:left w:w="108" w:type="dxa"/>
            <w:bottom w:w="0" w:type="dxa"/>
            <w:right w:w="108" w:type="dxa"/>
          </w:tblCellMar>
        </w:tblPrEx>
        <w:trPr>
          <w:trHeight w:val="300" w:hRule="atLeast"/>
        </w:trPr>
        <w:tc>
          <w:tcPr>
            <w:tcW w:w="1235"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BNT 5%</w:t>
            </w:r>
          </w:p>
        </w:tc>
        <w:tc>
          <w:tcPr>
            <w:tcW w:w="756"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0,739</w:t>
            </w:r>
          </w:p>
        </w:tc>
        <w:tc>
          <w:tcPr>
            <w:tcW w:w="534" w:type="dxa"/>
            <w:tcBorders>
              <w:top w:val="nil"/>
              <w:left w:val="nil"/>
              <w:bottom w:val="single" w:color="auto" w:sz="4" w:space="0"/>
            </w:tcBorders>
            <w:shd w:val="clear" w:color="auto" w:fill="auto"/>
            <w:noWrap/>
            <w:vAlign w:val="bottom"/>
          </w:tcPr>
          <w:p>
            <w:pPr>
              <w:rPr>
                <w:color w:val="000000"/>
                <w:sz w:val="22"/>
                <w:szCs w:val="22"/>
              </w:rPr>
            </w:pPr>
            <w:r>
              <w:rPr>
                <w:color w:val="000000"/>
                <w:sz w:val="22"/>
                <w:szCs w:val="22"/>
              </w:rPr>
              <w:t> </w:t>
            </w:r>
          </w:p>
        </w:tc>
        <w:tc>
          <w:tcPr>
            <w:tcW w:w="756" w:type="dxa"/>
            <w:tcBorders>
              <w:top w:val="single" w:color="auto" w:sz="4" w:space="0"/>
              <w:bottom w:val="single" w:color="auto" w:sz="4" w:space="0"/>
            </w:tcBorders>
            <w:shd w:val="clear" w:color="auto" w:fill="auto"/>
            <w:noWrap/>
            <w:vAlign w:val="bottom"/>
          </w:tcPr>
          <w:p>
            <w:pPr>
              <w:jc w:val="right"/>
              <w:rPr>
                <w:color w:val="000000"/>
                <w:sz w:val="22"/>
                <w:szCs w:val="22"/>
              </w:rPr>
            </w:pPr>
            <w:r>
              <w:rPr>
                <w:color w:val="000000"/>
                <w:sz w:val="22"/>
                <w:szCs w:val="22"/>
              </w:rPr>
              <w:t>1,044</w:t>
            </w:r>
          </w:p>
        </w:tc>
        <w:tc>
          <w:tcPr>
            <w:tcW w:w="654"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 </w:t>
            </w:r>
          </w:p>
        </w:tc>
        <w:tc>
          <w:tcPr>
            <w:tcW w:w="756"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1,22</w:t>
            </w:r>
          </w:p>
        </w:tc>
        <w:tc>
          <w:tcPr>
            <w:tcW w:w="678"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 </w:t>
            </w:r>
          </w:p>
        </w:tc>
        <w:tc>
          <w:tcPr>
            <w:tcW w:w="972" w:type="dxa"/>
            <w:gridSpan w:val="2"/>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1,401</w:t>
            </w:r>
          </w:p>
        </w:tc>
        <w:tc>
          <w:tcPr>
            <w:tcW w:w="373" w:type="dxa"/>
            <w:tcBorders>
              <w:top w:val="nil"/>
              <w:left w:val="nil"/>
              <w:bottom w:val="single" w:color="auto" w:sz="4" w:space="0"/>
            </w:tcBorders>
            <w:shd w:val="clear" w:color="auto" w:fill="auto"/>
            <w:noWrap/>
            <w:vAlign w:val="bottom"/>
          </w:tcPr>
          <w:p>
            <w:pPr>
              <w:rPr>
                <w:color w:val="000000"/>
                <w:sz w:val="22"/>
                <w:szCs w:val="22"/>
              </w:rPr>
            </w:pPr>
            <w:r>
              <w:rPr>
                <w:color w:val="000000"/>
                <w:sz w:val="22"/>
                <w:szCs w:val="22"/>
              </w:rPr>
              <w:t> </w:t>
            </w:r>
          </w:p>
        </w:tc>
        <w:tc>
          <w:tcPr>
            <w:tcW w:w="876"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1,360</w:t>
            </w:r>
          </w:p>
        </w:tc>
        <w:tc>
          <w:tcPr>
            <w:tcW w:w="550"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 </w:t>
            </w:r>
          </w:p>
        </w:tc>
      </w:tr>
    </w:tbl>
    <w:p>
      <w:pPr>
        <w:jc w:val="both"/>
        <w:rPr>
          <w:sz w:val="24"/>
          <w:szCs w:val="24"/>
        </w:rPr>
      </w:pPr>
    </w:p>
    <w:p>
      <w:pPr>
        <w:jc w:val="both"/>
        <w:rPr>
          <w:sz w:val="24"/>
          <w:szCs w:val="24"/>
        </w:rPr>
      </w:pPr>
    </w:p>
    <w:p>
      <w:pPr>
        <w:jc w:val="both"/>
        <w:rPr>
          <w:sz w:val="24"/>
          <w:szCs w:val="24"/>
        </w:rPr>
      </w:pPr>
    </w:p>
    <w:p>
      <w:pPr>
        <w:jc w:val="both"/>
        <w:rPr>
          <w:sz w:val="24"/>
          <w:szCs w:val="24"/>
        </w:rPr>
      </w:pPr>
    </w:p>
    <w:p>
      <w:pPr>
        <w:jc w:val="both"/>
        <w:rPr>
          <w:sz w:val="24"/>
          <w:szCs w:val="24"/>
        </w:rPr>
      </w:pPr>
    </w:p>
    <w:p>
      <w:pPr>
        <w:pStyle w:val="38"/>
        <w:ind w:left="993" w:hanging="993"/>
        <w:jc w:val="both"/>
        <w:rPr>
          <w:b/>
          <w:sz w:val="22"/>
          <w:szCs w:val="22"/>
        </w:rPr>
      </w:pPr>
      <w:r>
        <w:rPr>
          <w:b/>
          <w:sz w:val="22"/>
          <w:szCs w:val="22"/>
        </w:rPr>
        <w:t>Tabel 5  Rerata Jumlah Daun Akibat interaksi Perlakuan Komposisi Media Tanam (K) dan Perlakuan Tunggal Panjang Stek (P) Terhadap Pertumbuhan Bibit Bougenville umur 56 sampai 84 HST</w:t>
      </w:r>
    </w:p>
    <w:p>
      <w:pPr>
        <w:jc w:val="both"/>
        <w:rPr>
          <w:sz w:val="22"/>
          <w:szCs w:val="22"/>
        </w:rPr>
      </w:pPr>
    </w:p>
    <w:tbl>
      <w:tblPr>
        <w:tblStyle w:val="12"/>
        <w:tblW w:w="8048" w:type="dxa"/>
        <w:tblInd w:w="709" w:type="dxa"/>
        <w:tblLayout w:type="autofit"/>
        <w:tblCellMar>
          <w:top w:w="0" w:type="dxa"/>
          <w:left w:w="108" w:type="dxa"/>
          <w:bottom w:w="0" w:type="dxa"/>
          <w:right w:w="108" w:type="dxa"/>
        </w:tblCellMar>
      </w:tblPr>
      <w:tblGrid>
        <w:gridCol w:w="1176"/>
        <w:gridCol w:w="783"/>
        <w:gridCol w:w="500"/>
        <w:gridCol w:w="711"/>
        <w:gridCol w:w="754"/>
        <w:gridCol w:w="776"/>
        <w:gridCol w:w="624"/>
        <w:gridCol w:w="756"/>
        <w:gridCol w:w="652"/>
        <w:gridCol w:w="873"/>
        <w:gridCol w:w="443"/>
      </w:tblGrid>
      <w:tr>
        <w:tblPrEx>
          <w:tblCellMar>
            <w:top w:w="0" w:type="dxa"/>
            <w:left w:w="108" w:type="dxa"/>
            <w:bottom w:w="0" w:type="dxa"/>
            <w:right w:w="108" w:type="dxa"/>
          </w:tblCellMar>
        </w:tblPrEx>
        <w:trPr>
          <w:trHeight w:val="300" w:hRule="atLeast"/>
        </w:trPr>
        <w:tc>
          <w:tcPr>
            <w:tcW w:w="1176" w:type="dxa"/>
            <w:tcBorders>
              <w:top w:val="single" w:color="auto" w:sz="4" w:space="0"/>
              <w:bottom w:val="single" w:color="auto" w:sz="4" w:space="0"/>
            </w:tcBorders>
            <w:shd w:val="clear" w:color="auto" w:fill="auto"/>
            <w:noWrap/>
            <w:vAlign w:val="bottom"/>
          </w:tcPr>
          <w:p>
            <w:pPr>
              <w:spacing w:before="120" w:after="120"/>
              <w:rPr>
                <w:color w:val="000000"/>
                <w:sz w:val="22"/>
                <w:szCs w:val="22"/>
              </w:rPr>
            </w:pPr>
            <w:r>
              <w:rPr>
                <w:color w:val="000000"/>
                <w:sz w:val="22"/>
                <w:szCs w:val="22"/>
              </w:rPr>
              <w:t>Perlakuan</w:t>
            </w:r>
          </w:p>
        </w:tc>
        <w:tc>
          <w:tcPr>
            <w:tcW w:w="1283"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Umur 56 HST</w:t>
            </w:r>
          </w:p>
        </w:tc>
        <w:tc>
          <w:tcPr>
            <w:tcW w:w="1465" w:type="dxa"/>
            <w:gridSpan w:val="2"/>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Umur 63 HST</w:t>
            </w:r>
          </w:p>
        </w:tc>
        <w:tc>
          <w:tcPr>
            <w:tcW w:w="1400"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Umur 70 HST</w:t>
            </w:r>
          </w:p>
        </w:tc>
        <w:tc>
          <w:tcPr>
            <w:tcW w:w="1408" w:type="dxa"/>
            <w:gridSpan w:val="2"/>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Umur 77 HST</w:t>
            </w:r>
          </w:p>
        </w:tc>
        <w:tc>
          <w:tcPr>
            <w:tcW w:w="1316"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Umur 84 HST</w:t>
            </w:r>
          </w:p>
        </w:tc>
      </w:tr>
      <w:tr>
        <w:tblPrEx>
          <w:tblCellMar>
            <w:top w:w="0" w:type="dxa"/>
            <w:left w:w="108" w:type="dxa"/>
            <w:bottom w:w="0" w:type="dxa"/>
            <w:right w:w="108" w:type="dxa"/>
          </w:tblCellMar>
        </w:tblPrEx>
        <w:trPr>
          <w:trHeight w:val="300" w:hRule="atLeast"/>
        </w:trPr>
        <w:tc>
          <w:tcPr>
            <w:tcW w:w="117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1</w:t>
            </w:r>
          </w:p>
        </w:tc>
        <w:tc>
          <w:tcPr>
            <w:tcW w:w="783"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9,10</w:t>
            </w:r>
          </w:p>
        </w:tc>
        <w:tc>
          <w:tcPr>
            <w:tcW w:w="500"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b</w:t>
            </w:r>
          </w:p>
        </w:tc>
        <w:tc>
          <w:tcPr>
            <w:tcW w:w="711"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10,05</w:t>
            </w:r>
          </w:p>
        </w:tc>
        <w:tc>
          <w:tcPr>
            <w:tcW w:w="754"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bc</w:t>
            </w:r>
          </w:p>
        </w:tc>
        <w:tc>
          <w:tcPr>
            <w:tcW w:w="77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10,83</w:t>
            </w:r>
          </w:p>
        </w:tc>
        <w:tc>
          <w:tcPr>
            <w:tcW w:w="624"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bc</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11,02</w:t>
            </w:r>
          </w:p>
        </w:tc>
        <w:tc>
          <w:tcPr>
            <w:tcW w:w="652"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 xml:space="preserve">  bc</w:t>
            </w:r>
          </w:p>
        </w:tc>
        <w:tc>
          <w:tcPr>
            <w:tcW w:w="873"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13,00</w:t>
            </w:r>
          </w:p>
        </w:tc>
        <w:tc>
          <w:tcPr>
            <w:tcW w:w="443"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b</w:t>
            </w:r>
          </w:p>
        </w:tc>
      </w:tr>
      <w:tr>
        <w:tblPrEx>
          <w:tblCellMar>
            <w:top w:w="0" w:type="dxa"/>
            <w:left w:w="108" w:type="dxa"/>
            <w:bottom w:w="0" w:type="dxa"/>
            <w:right w:w="108" w:type="dxa"/>
          </w:tblCellMar>
        </w:tblPrEx>
        <w:trPr>
          <w:trHeight w:val="300" w:hRule="atLeast"/>
        </w:trPr>
        <w:tc>
          <w:tcPr>
            <w:tcW w:w="117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2</w:t>
            </w:r>
          </w:p>
        </w:tc>
        <w:tc>
          <w:tcPr>
            <w:tcW w:w="783"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7,51</w:t>
            </w:r>
          </w:p>
        </w:tc>
        <w:tc>
          <w:tcPr>
            <w:tcW w:w="50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c>
          <w:tcPr>
            <w:tcW w:w="711"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8,34</w:t>
            </w:r>
          </w:p>
        </w:tc>
        <w:tc>
          <w:tcPr>
            <w:tcW w:w="7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c>
          <w:tcPr>
            <w:tcW w:w="77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9,02</w:t>
            </w:r>
          </w:p>
        </w:tc>
        <w:tc>
          <w:tcPr>
            <w:tcW w:w="62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9,02</w:t>
            </w:r>
          </w:p>
        </w:tc>
        <w:tc>
          <w:tcPr>
            <w:tcW w:w="652"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c>
          <w:tcPr>
            <w:tcW w:w="873"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11,01</w:t>
            </w:r>
          </w:p>
        </w:tc>
        <w:tc>
          <w:tcPr>
            <w:tcW w:w="443"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r>
      <w:tr>
        <w:tblPrEx>
          <w:tblCellMar>
            <w:top w:w="0" w:type="dxa"/>
            <w:left w:w="108" w:type="dxa"/>
            <w:bottom w:w="0" w:type="dxa"/>
            <w:right w:w="108" w:type="dxa"/>
          </w:tblCellMar>
        </w:tblPrEx>
        <w:trPr>
          <w:trHeight w:val="300" w:hRule="atLeast"/>
        </w:trPr>
        <w:tc>
          <w:tcPr>
            <w:tcW w:w="117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3</w:t>
            </w:r>
          </w:p>
        </w:tc>
        <w:tc>
          <w:tcPr>
            <w:tcW w:w="783"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9,07</w:t>
            </w:r>
          </w:p>
        </w:tc>
        <w:tc>
          <w:tcPr>
            <w:tcW w:w="50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w:t>
            </w:r>
          </w:p>
        </w:tc>
        <w:tc>
          <w:tcPr>
            <w:tcW w:w="711"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9,63</w:t>
            </w:r>
          </w:p>
        </w:tc>
        <w:tc>
          <w:tcPr>
            <w:tcW w:w="7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abc</w:t>
            </w:r>
          </w:p>
        </w:tc>
        <w:tc>
          <w:tcPr>
            <w:tcW w:w="77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10,77</w:t>
            </w:r>
          </w:p>
        </w:tc>
        <w:tc>
          <w:tcPr>
            <w:tcW w:w="62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bc</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10,77</w:t>
            </w:r>
          </w:p>
        </w:tc>
        <w:tc>
          <w:tcPr>
            <w:tcW w:w="652"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 xml:space="preserve">  bc</w:t>
            </w:r>
          </w:p>
        </w:tc>
        <w:tc>
          <w:tcPr>
            <w:tcW w:w="873"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13,32</w:t>
            </w:r>
          </w:p>
        </w:tc>
        <w:tc>
          <w:tcPr>
            <w:tcW w:w="443"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w:t>
            </w:r>
          </w:p>
        </w:tc>
      </w:tr>
      <w:tr>
        <w:tblPrEx>
          <w:tblCellMar>
            <w:top w:w="0" w:type="dxa"/>
            <w:left w:w="108" w:type="dxa"/>
            <w:bottom w:w="0" w:type="dxa"/>
            <w:right w:w="108" w:type="dxa"/>
          </w:tblCellMar>
        </w:tblPrEx>
        <w:trPr>
          <w:trHeight w:val="300" w:hRule="atLeast"/>
        </w:trPr>
        <w:tc>
          <w:tcPr>
            <w:tcW w:w="117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4</w:t>
            </w:r>
          </w:p>
        </w:tc>
        <w:tc>
          <w:tcPr>
            <w:tcW w:w="783"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10,88</w:t>
            </w:r>
          </w:p>
        </w:tc>
        <w:tc>
          <w:tcPr>
            <w:tcW w:w="50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cd</w:t>
            </w:r>
          </w:p>
        </w:tc>
        <w:tc>
          <w:tcPr>
            <w:tcW w:w="711"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11,51</w:t>
            </w:r>
          </w:p>
        </w:tc>
        <w:tc>
          <w:tcPr>
            <w:tcW w:w="7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de</w:t>
            </w:r>
          </w:p>
        </w:tc>
        <w:tc>
          <w:tcPr>
            <w:tcW w:w="77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12,61</w:t>
            </w:r>
          </w:p>
        </w:tc>
        <w:tc>
          <w:tcPr>
            <w:tcW w:w="62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de</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12,61</w:t>
            </w:r>
          </w:p>
        </w:tc>
        <w:tc>
          <w:tcPr>
            <w:tcW w:w="652"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de</w:t>
            </w:r>
          </w:p>
        </w:tc>
        <w:tc>
          <w:tcPr>
            <w:tcW w:w="873"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15,03</w:t>
            </w:r>
          </w:p>
        </w:tc>
        <w:tc>
          <w:tcPr>
            <w:tcW w:w="443"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c</w:t>
            </w:r>
          </w:p>
        </w:tc>
      </w:tr>
      <w:tr>
        <w:tblPrEx>
          <w:tblCellMar>
            <w:top w:w="0" w:type="dxa"/>
            <w:left w:w="108" w:type="dxa"/>
            <w:bottom w:w="0" w:type="dxa"/>
            <w:right w:w="108" w:type="dxa"/>
          </w:tblCellMar>
        </w:tblPrEx>
        <w:trPr>
          <w:trHeight w:val="300" w:hRule="atLeast"/>
        </w:trPr>
        <w:tc>
          <w:tcPr>
            <w:tcW w:w="117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K1P</w:t>
            </w:r>
            <w:r>
              <w:rPr>
                <w:color w:val="000000"/>
                <w:sz w:val="22"/>
                <w:szCs w:val="22"/>
              </w:rPr>
              <w:t>1</w:t>
            </w:r>
          </w:p>
        </w:tc>
        <w:tc>
          <w:tcPr>
            <w:tcW w:w="783"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8,90</w:t>
            </w:r>
          </w:p>
        </w:tc>
        <w:tc>
          <w:tcPr>
            <w:tcW w:w="50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w:t>
            </w:r>
          </w:p>
        </w:tc>
        <w:tc>
          <w:tcPr>
            <w:tcW w:w="711"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9,22</w:t>
            </w:r>
          </w:p>
        </w:tc>
        <w:tc>
          <w:tcPr>
            <w:tcW w:w="7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w:t>
            </w:r>
          </w:p>
        </w:tc>
        <w:tc>
          <w:tcPr>
            <w:tcW w:w="77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10,22</w:t>
            </w:r>
          </w:p>
        </w:tc>
        <w:tc>
          <w:tcPr>
            <w:tcW w:w="62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10,22</w:t>
            </w:r>
          </w:p>
        </w:tc>
        <w:tc>
          <w:tcPr>
            <w:tcW w:w="652"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w:t>
            </w:r>
          </w:p>
        </w:tc>
        <w:tc>
          <w:tcPr>
            <w:tcW w:w="873"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13,73</w:t>
            </w:r>
          </w:p>
        </w:tc>
        <w:tc>
          <w:tcPr>
            <w:tcW w:w="443"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bc</w:t>
            </w:r>
          </w:p>
        </w:tc>
      </w:tr>
      <w:tr>
        <w:tblPrEx>
          <w:tblCellMar>
            <w:top w:w="0" w:type="dxa"/>
            <w:left w:w="108" w:type="dxa"/>
            <w:bottom w:w="0" w:type="dxa"/>
            <w:right w:w="108" w:type="dxa"/>
          </w:tblCellMar>
        </w:tblPrEx>
        <w:trPr>
          <w:trHeight w:val="330" w:hRule="atLeast"/>
        </w:trPr>
        <w:tc>
          <w:tcPr>
            <w:tcW w:w="117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2</w:t>
            </w:r>
          </w:p>
        </w:tc>
        <w:tc>
          <w:tcPr>
            <w:tcW w:w="783"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9,74</w:t>
            </w:r>
          </w:p>
        </w:tc>
        <w:tc>
          <w:tcPr>
            <w:tcW w:w="500" w:type="dxa"/>
            <w:tcBorders>
              <w:top w:val="single" w:color="auto" w:sz="4" w:space="0"/>
              <w:left w:val="nil"/>
              <w:bottom w:val="single" w:color="auto" w:sz="4" w:space="0"/>
            </w:tcBorders>
            <w:shd w:val="clear" w:color="auto" w:fill="auto"/>
            <w:noWrap/>
            <w:vAlign w:val="bottom"/>
          </w:tcPr>
          <w:p>
            <w:pPr>
              <w:jc w:val="center"/>
              <w:rPr>
                <w:color w:val="000000"/>
                <w:sz w:val="22"/>
                <w:szCs w:val="22"/>
                <w:lang w:val="id-ID"/>
              </w:rPr>
            </w:pPr>
            <w:r>
              <w:rPr>
                <w:color w:val="000000"/>
                <w:sz w:val="22"/>
                <w:szCs w:val="22"/>
                <w:lang w:val="id-ID"/>
              </w:rPr>
              <w:t>bc</w:t>
            </w:r>
          </w:p>
        </w:tc>
        <w:tc>
          <w:tcPr>
            <w:tcW w:w="711"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10,82</w:t>
            </w:r>
          </w:p>
        </w:tc>
        <w:tc>
          <w:tcPr>
            <w:tcW w:w="7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cd</w:t>
            </w:r>
          </w:p>
        </w:tc>
        <w:tc>
          <w:tcPr>
            <w:tcW w:w="77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11,80</w:t>
            </w:r>
          </w:p>
        </w:tc>
        <w:tc>
          <w:tcPr>
            <w:tcW w:w="62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cd</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11,80</w:t>
            </w:r>
          </w:p>
        </w:tc>
        <w:tc>
          <w:tcPr>
            <w:tcW w:w="652"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cd</w:t>
            </w:r>
          </w:p>
        </w:tc>
        <w:tc>
          <w:tcPr>
            <w:tcW w:w="873"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14,40</w:t>
            </w:r>
          </w:p>
        </w:tc>
        <w:tc>
          <w:tcPr>
            <w:tcW w:w="443"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bc</w:t>
            </w:r>
          </w:p>
        </w:tc>
      </w:tr>
      <w:tr>
        <w:tblPrEx>
          <w:tblCellMar>
            <w:top w:w="0" w:type="dxa"/>
            <w:left w:w="108" w:type="dxa"/>
            <w:bottom w:w="0" w:type="dxa"/>
            <w:right w:w="108" w:type="dxa"/>
          </w:tblCellMar>
        </w:tblPrEx>
        <w:trPr>
          <w:trHeight w:val="300" w:hRule="atLeast"/>
        </w:trPr>
        <w:tc>
          <w:tcPr>
            <w:tcW w:w="117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3</w:t>
            </w:r>
          </w:p>
        </w:tc>
        <w:tc>
          <w:tcPr>
            <w:tcW w:w="783"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12,73</w:t>
            </w:r>
          </w:p>
        </w:tc>
        <w:tc>
          <w:tcPr>
            <w:tcW w:w="50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ef</w:t>
            </w:r>
          </w:p>
        </w:tc>
        <w:tc>
          <w:tcPr>
            <w:tcW w:w="711"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13,96</w:t>
            </w:r>
          </w:p>
        </w:tc>
        <w:tc>
          <w:tcPr>
            <w:tcW w:w="7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f</w:t>
            </w:r>
          </w:p>
        </w:tc>
        <w:tc>
          <w:tcPr>
            <w:tcW w:w="77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14,72</w:t>
            </w:r>
          </w:p>
        </w:tc>
        <w:tc>
          <w:tcPr>
            <w:tcW w:w="62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fg</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15,28</w:t>
            </w:r>
          </w:p>
        </w:tc>
        <w:tc>
          <w:tcPr>
            <w:tcW w:w="652"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f</w:t>
            </w:r>
          </w:p>
        </w:tc>
        <w:tc>
          <w:tcPr>
            <w:tcW w:w="873"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17,47</w:t>
            </w:r>
          </w:p>
        </w:tc>
        <w:tc>
          <w:tcPr>
            <w:tcW w:w="443"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de</w:t>
            </w:r>
          </w:p>
        </w:tc>
      </w:tr>
      <w:tr>
        <w:tblPrEx>
          <w:tblCellMar>
            <w:top w:w="0" w:type="dxa"/>
            <w:left w:w="108" w:type="dxa"/>
            <w:bottom w:w="0" w:type="dxa"/>
            <w:right w:w="108" w:type="dxa"/>
          </w:tblCellMar>
        </w:tblPrEx>
        <w:trPr>
          <w:trHeight w:val="300" w:hRule="atLeast"/>
        </w:trPr>
        <w:tc>
          <w:tcPr>
            <w:tcW w:w="117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4</w:t>
            </w:r>
          </w:p>
        </w:tc>
        <w:tc>
          <w:tcPr>
            <w:tcW w:w="783"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11,77</w:t>
            </w:r>
          </w:p>
        </w:tc>
        <w:tc>
          <w:tcPr>
            <w:tcW w:w="50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de</w:t>
            </w:r>
          </w:p>
        </w:tc>
        <w:tc>
          <w:tcPr>
            <w:tcW w:w="711"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12,38</w:t>
            </w:r>
          </w:p>
        </w:tc>
        <w:tc>
          <w:tcPr>
            <w:tcW w:w="7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e</w:t>
            </w:r>
          </w:p>
        </w:tc>
        <w:tc>
          <w:tcPr>
            <w:tcW w:w="77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13,61</w:t>
            </w:r>
          </w:p>
        </w:tc>
        <w:tc>
          <w:tcPr>
            <w:tcW w:w="62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ef</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13,61</w:t>
            </w:r>
          </w:p>
        </w:tc>
        <w:tc>
          <w:tcPr>
            <w:tcW w:w="652"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 xml:space="preserve">   e</w:t>
            </w:r>
          </w:p>
        </w:tc>
        <w:tc>
          <w:tcPr>
            <w:tcW w:w="873"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16,85</w:t>
            </w:r>
          </w:p>
        </w:tc>
        <w:tc>
          <w:tcPr>
            <w:tcW w:w="443"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w:t>
            </w:r>
          </w:p>
        </w:tc>
      </w:tr>
      <w:tr>
        <w:tblPrEx>
          <w:tblCellMar>
            <w:top w:w="0" w:type="dxa"/>
            <w:left w:w="108" w:type="dxa"/>
            <w:bottom w:w="0" w:type="dxa"/>
            <w:right w:w="108" w:type="dxa"/>
          </w:tblCellMar>
        </w:tblPrEx>
        <w:trPr>
          <w:trHeight w:val="300" w:hRule="atLeast"/>
        </w:trPr>
        <w:tc>
          <w:tcPr>
            <w:tcW w:w="117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K2P</w:t>
            </w:r>
            <w:r>
              <w:rPr>
                <w:color w:val="000000"/>
                <w:sz w:val="22"/>
                <w:szCs w:val="22"/>
              </w:rPr>
              <w:t>1</w:t>
            </w:r>
          </w:p>
        </w:tc>
        <w:tc>
          <w:tcPr>
            <w:tcW w:w="783"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9,05</w:t>
            </w:r>
          </w:p>
        </w:tc>
        <w:tc>
          <w:tcPr>
            <w:tcW w:w="50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w:t>
            </w:r>
          </w:p>
        </w:tc>
        <w:tc>
          <w:tcPr>
            <w:tcW w:w="711"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9,93</w:t>
            </w:r>
          </w:p>
        </w:tc>
        <w:tc>
          <w:tcPr>
            <w:tcW w:w="7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bc</w:t>
            </w:r>
          </w:p>
        </w:tc>
        <w:tc>
          <w:tcPr>
            <w:tcW w:w="77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10,24</w:t>
            </w:r>
          </w:p>
        </w:tc>
        <w:tc>
          <w:tcPr>
            <w:tcW w:w="62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w:t>
            </w:r>
          </w:p>
        </w:tc>
        <w:tc>
          <w:tcPr>
            <w:tcW w:w="756"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10,24</w:t>
            </w:r>
          </w:p>
        </w:tc>
        <w:tc>
          <w:tcPr>
            <w:tcW w:w="652"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w:t>
            </w:r>
          </w:p>
        </w:tc>
        <w:tc>
          <w:tcPr>
            <w:tcW w:w="873"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13,15</w:t>
            </w:r>
          </w:p>
        </w:tc>
        <w:tc>
          <w:tcPr>
            <w:tcW w:w="443"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w:t>
            </w:r>
          </w:p>
        </w:tc>
      </w:tr>
      <w:tr>
        <w:tblPrEx>
          <w:tblCellMar>
            <w:top w:w="0" w:type="dxa"/>
            <w:left w:w="108" w:type="dxa"/>
            <w:bottom w:w="0" w:type="dxa"/>
            <w:right w:w="108" w:type="dxa"/>
          </w:tblCellMar>
        </w:tblPrEx>
        <w:trPr>
          <w:trHeight w:val="300" w:hRule="atLeast"/>
        </w:trPr>
        <w:tc>
          <w:tcPr>
            <w:tcW w:w="117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2</w:t>
            </w:r>
          </w:p>
        </w:tc>
        <w:tc>
          <w:tcPr>
            <w:tcW w:w="783"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12,76</w:t>
            </w:r>
          </w:p>
        </w:tc>
        <w:tc>
          <w:tcPr>
            <w:tcW w:w="50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ef</w:t>
            </w:r>
          </w:p>
        </w:tc>
        <w:tc>
          <w:tcPr>
            <w:tcW w:w="711"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13,72</w:t>
            </w:r>
          </w:p>
        </w:tc>
        <w:tc>
          <w:tcPr>
            <w:tcW w:w="7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f</w:t>
            </w:r>
          </w:p>
        </w:tc>
        <w:tc>
          <w:tcPr>
            <w:tcW w:w="77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14,77</w:t>
            </w:r>
          </w:p>
        </w:tc>
        <w:tc>
          <w:tcPr>
            <w:tcW w:w="62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fg</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15,50</w:t>
            </w:r>
          </w:p>
        </w:tc>
        <w:tc>
          <w:tcPr>
            <w:tcW w:w="652"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f</w:t>
            </w:r>
          </w:p>
        </w:tc>
        <w:tc>
          <w:tcPr>
            <w:tcW w:w="873"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17,78</w:t>
            </w:r>
          </w:p>
        </w:tc>
        <w:tc>
          <w:tcPr>
            <w:tcW w:w="443"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de</w:t>
            </w:r>
          </w:p>
        </w:tc>
      </w:tr>
      <w:tr>
        <w:tblPrEx>
          <w:tblCellMar>
            <w:top w:w="0" w:type="dxa"/>
            <w:left w:w="108" w:type="dxa"/>
            <w:bottom w:w="0" w:type="dxa"/>
            <w:right w:w="108" w:type="dxa"/>
          </w:tblCellMar>
        </w:tblPrEx>
        <w:trPr>
          <w:trHeight w:val="300" w:hRule="atLeast"/>
        </w:trPr>
        <w:tc>
          <w:tcPr>
            <w:tcW w:w="1176" w:type="dxa"/>
            <w:tcBorders>
              <w:top w:val="single" w:color="auto" w:sz="4" w:space="0"/>
              <w:bottom w:val="single" w:color="auto" w:sz="4" w:space="0"/>
            </w:tcBorders>
            <w:shd w:val="clear" w:color="auto" w:fill="auto"/>
            <w:noWrap/>
            <w:vAlign w:val="bottom"/>
          </w:tcPr>
          <w:p>
            <w:pPr>
              <w:jc w:val="center"/>
              <w:rPr>
                <w:b/>
                <w:color w:val="000000"/>
                <w:sz w:val="22"/>
                <w:szCs w:val="22"/>
              </w:rPr>
            </w:pPr>
            <w:r>
              <w:rPr>
                <w:b/>
                <w:color w:val="000000"/>
                <w:sz w:val="22"/>
                <w:szCs w:val="22"/>
                <w:lang w:val="id-ID"/>
              </w:rPr>
              <w:t>K</w:t>
            </w:r>
            <w:r>
              <w:rPr>
                <w:b/>
                <w:color w:val="000000"/>
                <w:sz w:val="22"/>
                <w:szCs w:val="22"/>
              </w:rPr>
              <w:t>2</w:t>
            </w:r>
            <w:r>
              <w:rPr>
                <w:b/>
                <w:color w:val="000000"/>
                <w:sz w:val="22"/>
                <w:szCs w:val="22"/>
                <w:lang w:val="id-ID"/>
              </w:rPr>
              <w:t>P</w:t>
            </w:r>
            <w:r>
              <w:rPr>
                <w:b/>
                <w:color w:val="000000"/>
                <w:sz w:val="22"/>
                <w:szCs w:val="22"/>
              </w:rPr>
              <w:t>3</w:t>
            </w:r>
          </w:p>
        </w:tc>
        <w:tc>
          <w:tcPr>
            <w:tcW w:w="783" w:type="dxa"/>
            <w:tcBorders>
              <w:top w:val="nil"/>
              <w:left w:val="nil"/>
              <w:bottom w:val="nil"/>
              <w:right w:val="nil"/>
            </w:tcBorders>
            <w:shd w:val="clear" w:color="auto" w:fill="auto"/>
            <w:noWrap/>
            <w:vAlign w:val="bottom"/>
          </w:tcPr>
          <w:p>
            <w:pPr>
              <w:jc w:val="right"/>
              <w:rPr>
                <w:b/>
                <w:color w:val="000000"/>
                <w:sz w:val="22"/>
                <w:szCs w:val="22"/>
              </w:rPr>
            </w:pPr>
            <w:r>
              <w:rPr>
                <w:b/>
                <w:color w:val="000000"/>
                <w:sz w:val="22"/>
                <w:szCs w:val="22"/>
              </w:rPr>
              <w:t>13,32</w:t>
            </w:r>
          </w:p>
        </w:tc>
        <w:tc>
          <w:tcPr>
            <w:tcW w:w="500" w:type="dxa"/>
            <w:tcBorders>
              <w:top w:val="single" w:color="auto" w:sz="4" w:space="0"/>
              <w:left w:val="nil"/>
              <w:bottom w:val="single" w:color="auto" w:sz="4" w:space="0"/>
            </w:tcBorders>
            <w:shd w:val="clear" w:color="auto" w:fill="auto"/>
            <w:noWrap/>
            <w:vAlign w:val="bottom"/>
          </w:tcPr>
          <w:p>
            <w:pPr>
              <w:jc w:val="center"/>
              <w:rPr>
                <w:b/>
                <w:color w:val="000000"/>
                <w:sz w:val="22"/>
                <w:szCs w:val="22"/>
              </w:rPr>
            </w:pPr>
            <w:r>
              <w:rPr>
                <w:b/>
                <w:color w:val="000000"/>
                <w:sz w:val="22"/>
                <w:szCs w:val="22"/>
              </w:rPr>
              <w:t>f</w:t>
            </w:r>
          </w:p>
        </w:tc>
        <w:tc>
          <w:tcPr>
            <w:tcW w:w="711" w:type="dxa"/>
            <w:tcBorders>
              <w:top w:val="nil"/>
              <w:left w:val="nil"/>
              <w:bottom w:val="nil"/>
              <w:right w:val="nil"/>
            </w:tcBorders>
            <w:shd w:val="clear" w:color="auto" w:fill="auto"/>
            <w:noWrap/>
            <w:vAlign w:val="bottom"/>
          </w:tcPr>
          <w:p>
            <w:pPr>
              <w:jc w:val="right"/>
              <w:rPr>
                <w:b/>
                <w:color w:val="000000"/>
                <w:sz w:val="22"/>
                <w:szCs w:val="22"/>
              </w:rPr>
            </w:pPr>
            <w:r>
              <w:rPr>
                <w:b/>
                <w:color w:val="000000"/>
                <w:sz w:val="22"/>
                <w:szCs w:val="22"/>
              </w:rPr>
              <w:t>14,50</w:t>
            </w:r>
          </w:p>
        </w:tc>
        <w:tc>
          <w:tcPr>
            <w:tcW w:w="754" w:type="dxa"/>
            <w:tcBorders>
              <w:top w:val="single" w:color="auto" w:sz="4" w:space="0"/>
              <w:left w:val="nil"/>
              <w:bottom w:val="single" w:color="auto" w:sz="4" w:space="0"/>
            </w:tcBorders>
            <w:shd w:val="clear" w:color="auto" w:fill="auto"/>
            <w:noWrap/>
            <w:vAlign w:val="bottom"/>
          </w:tcPr>
          <w:p>
            <w:pPr>
              <w:jc w:val="center"/>
              <w:rPr>
                <w:b/>
                <w:color w:val="000000"/>
                <w:sz w:val="22"/>
                <w:szCs w:val="22"/>
              </w:rPr>
            </w:pPr>
            <w:r>
              <w:rPr>
                <w:b/>
                <w:color w:val="000000"/>
                <w:sz w:val="22"/>
                <w:szCs w:val="22"/>
              </w:rPr>
              <w:t>f</w:t>
            </w:r>
          </w:p>
        </w:tc>
        <w:tc>
          <w:tcPr>
            <w:tcW w:w="776" w:type="dxa"/>
            <w:tcBorders>
              <w:top w:val="nil"/>
              <w:left w:val="nil"/>
              <w:bottom w:val="nil"/>
              <w:right w:val="nil"/>
            </w:tcBorders>
            <w:shd w:val="clear" w:color="auto" w:fill="auto"/>
            <w:noWrap/>
            <w:vAlign w:val="bottom"/>
          </w:tcPr>
          <w:p>
            <w:pPr>
              <w:jc w:val="right"/>
              <w:rPr>
                <w:b/>
                <w:color w:val="000000"/>
                <w:sz w:val="22"/>
                <w:szCs w:val="22"/>
              </w:rPr>
            </w:pPr>
            <w:r>
              <w:rPr>
                <w:b/>
                <w:color w:val="000000"/>
                <w:sz w:val="22"/>
                <w:szCs w:val="22"/>
              </w:rPr>
              <w:t>15,43</w:t>
            </w:r>
          </w:p>
        </w:tc>
        <w:tc>
          <w:tcPr>
            <w:tcW w:w="624" w:type="dxa"/>
            <w:tcBorders>
              <w:top w:val="single" w:color="auto" w:sz="4" w:space="0"/>
              <w:left w:val="nil"/>
              <w:bottom w:val="single" w:color="auto" w:sz="4" w:space="0"/>
            </w:tcBorders>
            <w:shd w:val="clear" w:color="auto" w:fill="auto"/>
            <w:noWrap/>
            <w:vAlign w:val="bottom"/>
          </w:tcPr>
          <w:p>
            <w:pPr>
              <w:jc w:val="center"/>
              <w:rPr>
                <w:b/>
                <w:color w:val="000000"/>
                <w:sz w:val="22"/>
                <w:szCs w:val="22"/>
              </w:rPr>
            </w:pPr>
            <w:r>
              <w:rPr>
                <w:b/>
                <w:color w:val="000000"/>
                <w:sz w:val="22"/>
                <w:szCs w:val="22"/>
              </w:rPr>
              <w:t>g</w:t>
            </w:r>
          </w:p>
        </w:tc>
        <w:tc>
          <w:tcPr>
            <w:tcW w:w="756" w:type="dxa"/>
            <w:tcBorders>
              <w:top w:val="nil"/>
              <w:left w:val="nil"/>
              <w:bottom w:val="nil"/>
              <w:right w:val="nil"/>
            </w:tcBorders>
            <w:shd w:val="clear" w:color="auto" w:fill="auto"/>
            <w:noWrap/>
            <w:vAlign w:val="bottom"/>
          </w:tcPr>
          <w:p>
            <w:pPr>
              <w:jc w:val="right"/>
              <w:rPr>
                <w:b/>
                <w:color w:val="000000"/>
                <w:sz w:val="22"/>
                <w:szCs w:val="22"/>
              </w:rPr>
            </w:pPr>
            <w:r>
              <w:rPr>
                <w:b/>
                <w:color w:val="000000"/>
                <w:sz w:val="22"/>
                <w:szCs w:val="22"/>
              </w:rPr>
              <w:t>17,03</w:t>
            </w:r>
          </w:p>
        </w:tc>
        <w:tc>
          <w:tcPr>
            <w:tcW w:w="652" w:type="dxa"/>
            <w:tcBorders>
              <w:top w:val="single" w:color="auto" w:sz="4" w:space="0"/>
              <w:left w:val="nil"/>
              <w:bottom w:val="single" w:color="auto" w:sz="4" w:space="0"/>
            </w:tcBorders>
            <w:shd w:val="clear" w:color="auto" w:fill="auto"/>
            <w:noWrap/>
            <w:vAlign w:val="bottom"/>
          </w:tcPr>
          <w:p>
            <w:pPr>
              <w:jc w:val="center"/>
              <w:rPr>
                <w:b/>
                <w:color w:val="000000"/>
                <w:sz w:val="22"/>
                <w:szCs w:val="22"/>
              </w:rPr>
            </w:pPr>
            <w:r>
              <w:rPr>
                <w:b/>
                <w:color w:val="000000"/>
                <w:sz w:val="22"/>
                <w:szCs w:val="22"/>
              </w:rPr>
              <w:t>g</w:t>
            </w:r>
          </w:p>
        </w:tc>
        <w:tc>
          <w:tcPr>
            <w:tcW w:w="873" w:type="dxa"/>
            <w:tcBorders>
              <w:top w:val="nil"/>
              <w:left w:val="nil"/>
              <w:bottom w:val="nil"/>
              <w:right w:val="nil"/>
            </w:tcBorders>
            <w:shd w:val="clear" w:color="auto" w:fill="auto"/>
            <w:noWrap/>
            <w:vAlign w:val="bottom"/>
          </w:tcPr>
          <w:p>
            <w:pPr>
              <w:jc w:val="right"/>
              <w:rPr>
                <w:b/>
                <w:color w:val="000000"/>
                <w:sz w:val="22"/>
                <w:szCs w:val="22"/>
              </w:rPr>
            </w:pPr>
            <w:r>
              <w:rPr>
                <w:b/>
                <w:color w:val="000000"/>
                <w:sz w:val="22"/>
                <w:szCs w:val="22"/>
              </w:rPr>
              <w:t>18,83</w:t>
            </w:r>
          </w:p>
        </w:tc>
        <w:tc>
          <w:tcPr>
            <w:tcW w:w="443" w:type="dxa"/>
            <w:tcBorders>
              <w:top w:val="single" w:color="auto" w:sz="4" w:space="0"/>
              <w:left w:val="nil"/>
              <w:bottom w:val="single" w:color="auto" w:sz="4" w:space="0"/>
            </w:tcBorders>
            <w:shd w:val="clear" w:color="auto" w:fill="auto"/>
            <w:noWrap/>
            <w:vAlign w:val="bottom"/>
          </w:tcPr>
          <w:p>
            <w:pPr>
              <w:jc w:val="center"/>
              <w:rPr>
                <w:b/>
                <w:color w:val="000000"/>
                <w:sz w:val="22"/>
                <w:szCs w:val="22"/>
              </w:rPr>
            </w:pPr>
            <w:r>
              <w:rPr>
                <w:b/>
                <w:color w:val="000000"/>
                <w:sz w:val="22"/>
                <w:szCs w:val="22"/>
              </w:rPr>
              <w:t>e</w:t>
            </w:r>
          </w:p>
        </w:tc>
      </w:tr>
      <w:tr>
        <w:tblPrEx>
          <w:tblCellMar>
            <w:top w:w="0" w:type="dxa"/>
            <w:left w:w="108" w:type="dxa"/>
            <w:bottom w:w="0" w:type="dxa"/>
            <w:right w:w="108" w:type="dxa"/>
          </w:tblCellMar>
        </w:tblPrEx>
        <w:trPr>
          <w:trHeight w:val="300" w:hRule="atLeast"/>
        </w:trPr>
        <w:tc>
          <w:tcPr>
            <w:tcW w:w="117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4</w:t>
            </w:r>
          </w:p>
        </w:tc>
        <w:tc>
          <w:tcPr>
            <w:tcW w:w="783"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12,46</w:t>
            </w:r>
          </w:p>
        </w:tc>
        <w:tc>
          <w:tcPr>
            <w:tcW w:w="500"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ef</w:t>
            </w:r>
          </w:p>
        </w:tc>
        <w:tc>
          <w:tcPr>
            <w:tcW w:w="711"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13,95</w:t>
            </w:r>
          </w:p>
        </w:tc>
        <w:tc>
          <w:tcPr>
            <w:tcW w:w="75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f</w:t>
            </w:r>
          </w:p>
        </w:tc>
        <w:tc>
          <w:tcPr>
            <w:tcW w:w="77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14,79</w:t>
            </w:r>
          </w:p>
        </w:tc>
        <w:tc>
          <w:tcPr>
            <w:tcW w:w="624"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fg</w:t>
            </w:r>
          </w:p>
        </w:tc>
        <w:tc>
          <w:tcPr>
            <w:tcW w:w="756"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15,92</w:t>
            </w:r>
          </w:p>
        </w:tc>
        <w:tc>
          <w:tcPr>
            <w:tcW w:w="652"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fg</w:t>
            </w:r>
          </w:p>
        </w:tc>
        <w:tc>
          <w:tcPr>
            <w:tcW w:w="873"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17,44</w:t>
            </w:r>
          </w:p>
        </w:tc>
        <w:tc>
          <w:tcPr>
            <w:tcW w:w="443"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de</w:t>
            </w:r>
          </w:p>
        </w:tc>
      </w:tr>
      <w:tr>
        <w:tblPrEx>
          <w:tblCellMar>
            <w:top w:w="0" w:type="dxa"/>
            <w:left w:w="108" w:type="dxa"/>
            <w:bottom w:w="0" w:type="dxa"/>
            <w:right w:w="108" w:type="dxa"/>
          </w:tblCellMar>
        </w:tblPrEx>
        <w:trPr>
          <w:trHeight w:val="300" w:hRule="atLeast"/>
        </w:trPr>
        <w:tc>
          <w:tcPr>
            <w:tcW w:w="117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BNT 5%</w:t>
            </w:r>
          </w:p>
        </w:tc>
        <w:tc>
          <w:tcPr>
            <w:tcW w:w="783"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1,374</w:t>
            </w:r>
          </w:p>
        </w:tc>
        <w:tc>
          <w:tcPr>
            <w:tcW w:w="500"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 </w:t>
            </w:r>
          </w:p>
        </w:tc>
        <w:tc>
          <w:tcPr>
            <w:tcW w:w="711"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1,339</w:t>
            </w:r>
          </w:p>
        </w:tc>
        <w:tc>
          <w:tcPr>
            <w:tcW w:w="754"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 </w:t>
            </w:r>
          </w:p>
        </w:tc>
        <w:tc>
          <w:tcPr>
            <w:tcW w:w="776"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1,337</w:t>
            </w:r>
          </w:p>
        </w:tc>
        <w:tc>
          <w:tcPr>
            <w:tcW w:w="624"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 </w:t>
            </w:r>
          </w:p>
        </w:tc>
        <w:tc>
          <w:tcPr>
            <w:tcW w:w="756"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1,419</w:t>
            </w:r>
          </w:p>
        </w:tc>
        <w:tc>
          <w:tcPr>
            <w:tcW w:w="652"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 </w:t>
            </w:r>
          </w:p>
        </w:tc>
        <w:tc>
          <w:tcPr>
            <w:tcW w:w="873"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1,417</w:t>
            </w:r>
          </w:p>
        </w:tc>
        <w:tc>
          <w:tcPr>
            <w:tcW w:w="443"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 </w:t>
            </w:r>
          </w:p>
        </w:tc>
      </w:tr>
    </w:tbl>
    <w:p>
      <w:pPr>
        <w:ind w:left="1701" w:hanging="1134"/>
        <w:jc w:val="both"/>
        <w:rPr>
          <w:szCs w:val="24"/>
        </w:rPr>
      </w:pPr>
      <w:r>
        <w:rPr>
          <w:szCs w:val="24"/>
        </w:rPr>
        <w:t>Keterangan : Angka yang diikuti oleh huruf yang sama pada kolom dan perlakuaan yang sama berbeda tidak nyata pada uji BNT  5%;</w:t>
      </w:r>
    </w:p>
    <w:p>
      <w:pPr>
        <w:tabs>
          <w:tab w:val="left" w:pos="567"/>
        </w:tabs>
        <w:spacing w:line="360" w:lineRule="auto"/>
        <w:jc w:val="both"/>
        <w:rPr>
          <w:bCs/>
          <w:sz w:val="22"/>
          <w:szCs w:val="22"/>
        </w:rPr>
      </w:pPr>
    </w:p>
    <w:p>
      <w:pPr>
        <w:tabs>
          <w:tab w:val="left" w:pos="567"/>
        </w:tabs>
        <w:spacing w:line="360" w:lineRule="auto"/>
        <w:jc w:val="both"/>
        <w:rPr>
          <w:bCs/>
          <w:sz w:val="22"/>
          <w:szCs w:val="22"/>
        </w:rPr>
      </w:pPr>
      <w:r>
        <w:rPr>
          <w:sz w:val="24"/>
          <w:szCs w:val="24"/>
        </w:rPr>
        <w:tab/>
      </w:r>
      <w:r>
        <w:rPr>
          <w:sz w:val="24"/>
          <w:szCs w:val="24"/>
        </w:rPr>
        <w:t xml:space="preserve">Parameter rerata jumlah daun terbanyak pada interaksi media tanam tanah dan arang sekam (K2) dan jenis panjang stek 25 cm (P3) mempunyai pertumbuhan stek yang baik dimana daun terbentuk lebih banyak dibanding dengan perlakuan yang lain. Namun demikian tidak berbeda nyata dengan interaksi perlakuan K1P3, K2P2 dan K2P4 pada umur 56 HST sampai dengan 84 HST. Interaksi perlakuan media tanam tanah dan arang sekam dengan panjang stek 25 cm (K2P3) menunjukkan jumlah daun lebih banyak dibandingkan kombinasi yang lain. Jumlah daun yang terbentuk ber hubungan dengan penggunaan komposisi media tanam yang tepat dan panjang stek yang cukup dalam penananam stek tanaman Bougenville. Media tanam yang memiliki sifat fisik yang baik juga dengan kandungan unsur hara makro dan mikro yang mencukupi kebutuhan tanaman untuk tumbuh termasuk akar tanaman. Arang sekam memiliki sifat porositas yang baik sehingga berpengaruh pada aerasi media yang membuat akar mampu berespirasi dan menembus media tanam dengan baik. Sesuai pernyataan </w:t>
      </w:r>
      <w:bookmarkStart w:id="13" w:name="_Hlk186121862"/>
      <w:r>
        <w:rPr>
          <w:sz w:val="24"/>
          <w:szCs w:val="24"/>
        </w:rPr>
        <w:t xml:space="preserve">Isro’ (2008) </w:t>
      </w:r>
      <w:r>
        <w:rPr>
          <w:i/>
          <w:sz w:val="24"/>
          <w:szCs w:val="24"/>
        </w:rPr>
        <w:t>dalam</w:t>
      </w:r>
      <w:r>
        <w:rPr>
          <w:sz w:val="24"/>
          <w:szCs w:val="24"/>
        </w:rPr>
        <w:t xml:space="preserve"> Ubay (2017)</w:t>
      </w:r>
      <w:bookmarkEnd w:id="13"/>
      <w:r>
        <w:rPr>
          <w:sz w:val="24"/>
          <w:szCs w:val="24"/>
        </w:rPr>
        <w:t xml:space="preserve"> bahwa </w:t>
      </w:r>
      <w:r>
        <w:rPr>
          <w:sz w:val="24"/>
          <w:szCs w:val="24"/>
          <w:shd w:val="clear" w:color="auto" w:fill="FFFFFF"/>
        </w:rPr>
        <w:t xml:space="preserve">pada media tanam sekam kompos banyak membawa keuntungan yaitu mengandung karbon (C) yang membuat media tanam menjadi gembur. Hal ini membantu merangsang pertumbuhan secara keseluruhan khususnya batang, cabang, dan daun serta zat hijau daun untuk fotosintesis dan memiliki unsur fosfor, kalium, yang dibutuhkan tanaman dibandingkan dengan pupuk kandang. </w:t>
      </w:r>
      <w:r>
        <w:rPr>
          <w:sz w:val="24"/>
          <w:szCs w:val="24"/>
        </w:rPr>
        <w:t>Selain itu, adanya kandungan cadangan makanan yang cukup pada batang stek  akan meningkatkan pertumbuhan daun. Dengan adanya kebutuhan yang cukup baik dari media tanam dan stek batang tanaman itu sendiri menyebabkan pertumbuhan daun meningkat.</w:t>
      </w:r>
    </w:p>
    <w:p>
      <w:pPr>
        <w:pStyle w:val="38"/>
        <w:numPr>
          <w:ilvl w:val="0"/>
          <w:numId w:val="4"/>
        </w:numPr>
        <w:spacing w:after="160" w:line="259" w:lineRule="auto"/>
        <w:ind w:left="426"/>
        <w:jc w:val="both"/>
        <w:rPr>
          <w:b/>
        </w:rPr>
      </w:pPr>
      <w:r>
        <w:rPr>
          <w:b/>
        </w:rPr>
        <w:t>JUMLAH AKAR</w:t>
      </w:r>
    </w:p>
    <w:p>
      <w:pPr>
        <w:spacing w:line="360" w:lineRule="auto"/>
        <w:ind w:left="142" w:firstLine="425"/>
        <w:jc w:val="both"/>
        <w:rPr>
          <w:rFonts w:eastAsia="Calibri"/>
          <w:sz w:val="22"/>
          <w:szCs w:val="22"/>
        </w:rPr>
      </w:pPr>
      <w:r>
        <w:rPr>
          <w:sz w:val="22"/>
          <w:szCs w:val="22"/>
        </w:rPr>
        <w:t xml:space="preserve">Hasil analisa sidik ragam pada parameter jumlah akar akibat perlakuan faktor tunggal komposisi media tanam dan panjang stek berpengaruh nyata, namun interaksi antara kedua perlakuan tersebut memberikan pengaruh berbeda tidak nyata. </w:t>
      </w:r>
    </w:p>
    <w:p>
      <w:pPr>
        <w:ind w:left="851" w:hanging="851"/>
        <w:jc w:val="both"/>
        <w:rPr>
          <w:b/>
          <w:sz w:val="22"/>
          <w:szCs w:val="22"/>
        </w:rPr>
      </w:pPr>
      <w:r>
        <w:rPr>
          <w:b/>
          <w:sz w:val="22"/>
          <w:szCs w:val="22"/>
        </w:rPr>
        <w:t>Tabel 6. Rerata Jumlah Akar (helai) Akibat Perlakuan Tunggal Komposisi Media Tanam (</w:t>
      </w:r>
      <w:r>
        <w:rPr>
          <w:b/>
          <w:sz w:val="22"/>
          <w:szCs w:val="22"/>
          <w:lang w:val="id-ID"/>
        </w:rPr>
        <w:t>K</w:t>
      </w:r>
      <w:r>
        <w:rPr>
          <w:b/>
          <w:sz w:val="22"/>
          <w:szCs w:val="22"/>
        </w:rPr>
        <w:t>) dan Perlakuan Tunggal Panjang Stek (</w:t>
      </w:r>
      <w:r>
        <w:rPr>
          <w:b/>
          <w:sz w:val="22"/>
          <w:szCs w:val="22"/>
          <w:lang w:val="id-ID"/>
        </w:rPr>
        <w:t>P</w:t>
      </w:r>
      <w:r>
        <w:rPr>
          <w:b/>
          <w:sz w:val="22"/>
          <w:szCs w:val="22"/>
        </w:rPr>
        <w:t>) Terhadap Pertumbuhan Bibit Bougenville</w:t>
      </w:r>
    </w:p>
    <w:p>
      <w:pPr>
        <w:ind w:left="1276" w:hanging="1276"/>
        <w:jc w:val="both"/>
        <w:rPr>
          <w:sz w:val="22"/>
          <w:szCs w:val="22"/>
        </w:rPr>
      </w:pPr>
    </w:p>
    <w:tbl>
      <w:tblPr>
        <w:tblStyle w:val="12"/>
        <w:tblW w:w="3852" w:type="dxa"/>
        <w:jc w:val="center"/>
        <w:tblLayout w:type="autofit"/>
        <w:tblCellMar>
          <w:top w:w="0" w:type="dxa"/>
          <w:left w:w="108" w:type="dxa"/>
          <w:bottom w:w="0" w:type="dxa"/>
          <w:right w:w="108" w:type="dxa"/>
        </w:tblCellMar>
      </w:tblPr>
      <w:tblGrid>
        <w:gridCol w:w="1806"/>
        <w:gridCol w:w="1620"/>
        <w:gridCol w:w="426"/>
      </w:tblGrid>
      <w:tr>
        <w:tblPrEx>
          <w:tblCellMar>
            <w:top w:w="0" w:type="dxa"/>
            <w:left w:w="108" w:type="dxa"/>
            <w:bottom w:w="0" w:type="dxa"/>
            <w:right w:w="108" w:type="dxa"/>
          </w:tblCellMar>
        </w:tblPrEx>
        <w:trPr>
          <w:trHeight w:val="611" w:hRule="atLeast"/>
          <w:jc w:val="center"/>
        </w:trPr>
        <w:tc>
          <w:tcPr>
            <w:tcW w:w="1806" w:type="dxa"/>
            <w:vMerge w:val="restart"/>
            <w:tcBorders>
              <w:top w:val="single" w:color="auto" w:sz="4" w:space="0"/>
              <w:bottom w:val="single" w:color="auto" w:sz="4" w:space="0"/>
            </w:tcBorders>
            <w:shd w:val="clear" w:color="auto" w:fill="auto"/>
            <w:vAlign w:val="center"/>
          </w:tcPr>
          <w:p>
            <w:pPr>
              <w:jc w:val="center"/>
              <w:rPr>
                <w:color w:val="000000"/>
                <w:sz w:val="22"/>
                <w:szCs w:val="22"/>
              </w:rPr>
            </w:pPr>
            <w:r>
              <w:rPr>
                <w:color w:val="000000"/>
                <w:sz w:val="22"/>
                <w:szCs w:val="22"/>
              </w:rPr>
              <w:t>Kompisisi Media Tanam</w:t>
            </w:r>
          </w:p>
        </w:tc>
        <w:tc>
          <w:tcPr>
            <w:tcW w:w="2046" w:type="dxa"/>
            <w:gridSpan w:val="2"/>
            <w:vMerge w:val="restart"/>
            <w:tcBorders>
              <w:top w:val="single" w:color="auto" w:sz="4" w:space="0"/>
              <w:left w:val="nil"/>
              <w:bottom w:val="single" w:color="auto" w:sz="4" w:space="0"/>
            </w:tcBorders>
            <w:shd w:val="clear" w:color="auto" w:fill="auto"/>
            <w:noWrap/>
            <w:vAlign w:val="center"/>
          </w:tcPr>
          <w:p>
            <w:pPr>
              <w:jc w:val="center"/>
              <w:rPr>
                <w:color w:val="000000"/>
                <w:sz w:val="22"/>
                <w:szCs w:val="22"/>
                <w:lang w:val="id-ID"/>
              </w:rPr>
            </w:pPr>
            <w:r>
              <w:rPr>
                <w:color w:val="000000"/>
                <w:sz w:val="22"/>
                <w:szCs w:val="22"/>
              </w:rPr>
              <w:t>Rerata</w:t>
            </w:r>
            <w:r>
              <w:rPr>
                <w:color w:val="000000"/>
                <w:sz w:val="22"/>
                <w:szCs w:val="22"/>
                <w:lang w:val="id-ID"/>
              </w:rPr>
              <w:t xml:space="preserve"> Jumlah Akar</w:t>
            </w:r>
          </w:p>
        </w:tc>
      </w:tr>
      <w:tr>
        <w:tblPrEx>
          <w:tblCellMar>
            <w:top w:w="0" w:type="dxa"/>
            <w:left w:w="108" w:type="dxa"/>
            <w:bottom w:w="0" w:type="dxa"/>
            <w:right w:w="108" w:type="dxa"/>
          </w:tblCellMar>
        </w:tblPrEx>
        <w:trPr>
          <w:trHeight w:val="253" w:hRule="atLeast"/>
          <w:jc w:val="center"/>
        </w:trPr>
        <w:tc>
          <w:tcPr>
            <w:tcW w:w="1806" w:type="dxa"/>
            <w:vMerge w:val="continue"/>
            <w:tcBorders>
              <w:top w:val="single" w:color="auto" w:sz="4" w:space="0"/>
              <w:bottom w:val="single" w:color="auto" w:sz="4" w:space="0"/>
            </w:tcBorders>
            <w:vAlign w:val="center"/>
          </w:tcPr>
          <w:p>
            <w:pPr>
              <w:rPr>
                <w:color w:val="000000"/>
                <w:sz w:val="22"/>
                <w:szCs w:val="22"/>
              </w:rPr>
            </w:pPr>
          </w:p>
        </w:tc>
        <w:tc>
          <w:tcPr>
            <w:tcW w:w="2046" w:type="dxa"/>
            <w:gridSpan w:val="2"/>
            <w:vMerge w:val="continue"/>
            <w:tcBorders>
              <w:top w:val="single" w:color="auto" w:sz="4" w:space="0"/>
              <w:left w:val="nil"/>
              <w:bottom w:val="single" w:color="auto" w:sz="4" w:space="0"/>
            </w:tcBorders>
            <w:vAlign w:val="center"/>
          </w:tcPr>
          <w:p>
            <w:pPr>
              <w:rPr>
                <w:color w:val="000000"/>
                <w:sz w:val="22"/>
                <w:szCs w:val="22"/>
              </w:rPr>
            </w:pPr>
          </w:p>
        </w:tc>
      </w:tr>
      <w:tr>
        <w:tblPrEx>
          <w:tblCellMar>
            <w:top w:w="0" w:type="dxa"/>
            <w:left w:w="108" w:type="dxa"/>
            <w:bottom w:w="0" w:type="dxa"/>
            <w:right w:w="108" w:type="dxa"/>
          </w:tblCellMar>
        </w:tblPrEx>
        <w:trPr>
          <w:trHeight w:val="306" w:hRule="atLeast"/>
          <w:jc w:val="center"/>
        </w:trPr>
        <w:tc>
          <w:tcPr>
            <w:tcW w:w="180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p>
        </w:tc>
        <w:tc>
          <w:tcPr>
            <w:tcW w:w="1620"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12,81</w:t>
            </w:r>
          </w:p>
        </w:tc>
        <w:tc>
          <w:tcPr>
            <w:tcW w:w="426"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r>
      <w:tr>
        <w:tblPrEx>
          <w:tblCellMar>
            <w:top w:w="0" w:type="dxa"/>
            <w:left w:w="108" w:type="dxa"/>
            <w:bottom w:w="0" w:type="dxa"/>
            <w:right w:w="108" w:type="dxa"/>
          </w:tblCellMar>
        </w:tblPrEx>
        <w:trPr>
          <w:trHeight w:val="292" w:hRule="atLeast"/>
          <w:jc w:val="center"/>
        </w:trPr>
        <w:tc>
          <w:tcPr>
            <w:tcW w:w="180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p>
        </w:tc>
        <w:tc>
          <w:tcPr>
            <w:tcW w:w="1620"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13,62</w:t>
            </w:r>
          </w:p>
        </w:tc>
        <w:tc>
          <w:tcPr>
            <w:tcW w:w="426"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r>
      <w:tr>
        <w:tblPrEx>
          <w:tblCellMar>
            <w:top w:w="0" w:type="dxa"/>
            <w:left w:w="108" w:type="dxa"/>
            <w:bottom w:w="0" w:type="dxa"/>
            <w:right w:w="108" w:type="dxa"/>
          </w:tblCellMar>
        </w:tblPrEx>
        <w:trPr>
          <w:trHeight w:val="292" w:hRule="atLeast"/>
          <w:jc w:val="center"/>
        </w:trPr>
        <w:tc>
          <w:tcPr>
            <w:tcW w:w="1806" w:type="dxa"/>
            <w:tcBorders>
              <w:top w:val="single" w:color="auto" w:sz="4" w:space="0"/>
              <w:bottom w:val="single" w:color="auto" w:sz="4" w:space="0"/>
            </w:tcBorders>
            <w:shd w:val="clear" w:color="auto" w:fill="auto"/>
            <w:noWrap/>
            <w:vAlign w:val="bottom"/>
          </w:tcPr>
          <w:p>
            <w:pPr>
              <w:jc w:val="center"/>
              <w:rPr>
                <w:b/>
                <w:color w:val="000000"/>
                <w:sz w:val="22"/>
                <w:szCs w:val="22"/>
              </w:rPr>
            </w:pPr>
            <w:r>
              <w:rPr>
                <w:b/>
                <w:color w:val="000000"/>
                <w:sz w:val="22"/>
                <w:szCs w:val="22"/>
                <w:lang w:val="id-ID"/>
              </w:rPr>
              <w:t>K</w:t>
            </w:r>
            <w:r>
              <w:rPr>
                <w:b/>
                <w:color w:val="000000"/>
                <w:sz w:val="22"/>
                <w:szCs w:val="22"/>
              </w:rPr>
              <w:t>2</w:t>
            </w:r>
          </w:p>
        </w:tc>
        <w:tc>
          <w:tcPr>
            <w:tcW w:w="1620" w:type="dxa"/>
            <w:tcBorders>
              <w:top w:val="nil"/>
              <w:left w:val="nil"/>
              <w:bottom w:val="single" w:color="auto" w:sz="4" w:space="0"/>
              <w:right w:val="nil"/>
            </w:tcBorders>
            <w:shd w:val="clear" w:color="auto" w:fill="auto"/>
            <w:noWrap/>
            <w:vAlign w:val="bottom"/>
          </w:tcPr>
          <w:p>
            <w:pPr>
              <w:jc w:val="right"/>
              <w:rPr>
                <w:b/>
                <w:color w:val="000000"/>
                <w:sz w:val="22"/>
                <w:szCs w:val="22"/>
              </w:rPr>
            </w:pPr>
            <w:r>
              <w:rPr>
                <w:b/>
                <w:color w:val="000000"/>
                <w:sz w:val="22"/>
                <w:szCs w:val="22"/>
              </w:rPr>
              <w:t>17,05</w:t>
            </w:r>
          </w:p>
        </w:tc>
        <w:tc>
          <w:tcPr>
            <w:tcW w:w="426" w:type="dxa"/>
            <w:tcBorders>
              <w:top w:val="single" w:color="auto" w:sz="4" w:space="0"/>
              <w:left w:val="nil"/>
              <w:bottom w:val="single" w:color="auto" w:sz="4" w:space="0"/>
            </w:tcBorders>
            <w:shd w:val="clear" w:color="auto" w:fill="auto"/>
            <w:noWrap/>
            <w:vAlign w:val="bottom"/>
          </w:tcPr>
          <w:p>
            <w:pPr>
              <w:jc w:val="center"/>
              <w:rPr>
                <w:b/>
                <w:color w:val="000000"/>
                <w:sz w:val="22"/>
                <w:szCs w:val="22"/>
              </w:rPr>
            </w:pPr>
            <w:r>
              <w:rPr>
                <w:b/>
                <w:color w:val="000000"/>
                <w:sz w:val="22"/>
                <w:szCs w:val="22"/>
              </w:rPr>
              <w:t>b</w:t>
            </w:r>
          </w:p>
        </w:tc>
      </w:tr>
      <w:tr>
        <w:tblPrEx>
          <w:tblCellMar>
            <w:top w:w="0" w:type="dxa"/>
            <w:left w:w="108" w:type="dxa"/>
            <w:bottom w:w="0" w:type="dxa"/>
            <w:right w:w="108" w:type="dxa"/>
          </w:tblCellMar>
        </w:tblPrEx>
        <w:trPr>
          <w:trHeight w:val="292" w:hRule="atLeast"/>
          <w:jc w:val="center"/>
        </w:trPr>
        <w:tc>
          <w:tcPr>
            <w:tcW w:w="180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BNT 5%</w:t>
            </w:r>
          </w:p>
        </w:tc>
        <w:tc>
          <w:tcPr>
            <w:tcW w:w="1620"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1,099</w:t>
            </w:r>
          </w:p>
        </w:tc>
        <w:tc>
          <w:tcPr>
            <w:tcW w:w="426"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 </w:t>
            </w:r>
          </w:p>
        </w:tc>
      </w:tr>
      <w:tr>
        <w:tblPrEx>
          <w:tblCellMar>
            <w:top w:w="0" w:type="dxa"/>
            <w:left w:w="108" w:type="dxa"/>
            <w:bottom w:w="0" w:type="dxa"/>
            <w:right w:w="108" w:type="dxa"/>
          </w:tblCellMar>
        </w:tblPrEx>
        <w:trPr>
          <w:trHeight w:val="292" w:hRule="atLeast"/>
          <w:jc w:val="center"/>
        </w:trPr>
        <w:tc>
          <w:tcPr>
            <w:tcW w:w="180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Panjang Stek</w:t>
            </w:r>
          </w:p>
        </w:tc>
        <w:tc>
          <w:tcPr>
            <w:tcW w:w="2046" w:type="dxa"/>
            <w:gridSpan w:val="2"/>
            <w:tcBorders>
              <w:top w:val="single" w:color="auto" w:sz="4" w:space="0"/>
              <w:left w:val="nil"/>
              <w:bottom w:val="single" w:color="auto" w:sz="4" w:space="0"/>
            </w:tcBorders>
            <w:shd w:val="clear" w:color="auto" w:fill="auto"/>
            <w:noWrap/>
            <w:vAlign w:val="bottom"/>
          </w:tcPr>
          <w:p>
            <w:pPr>
              <w:spacing w:after="120"/>
              <w:jc w:val="center"/>
              <w:rPr>
                <w:color w:val="000000"/>
                <w:sz w:val="22"/>
                <w:szCs w:val="22"/>
              </w:rPr>
            </w:pPr>
          </w:p>
        </w:tc>
      </w:tr>
      <w:tr>
        <w:tblPrEx>
          <w:tblCellMar>
            <w:top w:w="0" w:type="dxa"/>
            <w:left w:w="108" w:type="dxa"/>
            <w:bottom w:w="0" w:type="dxa"/>
            <w:right w:w="108" w:type="dxa"/>
          </w:tblCellMar>
        </w:tblPrEx>
        <w:trPr>
          <w:trHeight w:val="278" w:hRule="atLeast"/>
          <w:jc w:val="center"/>
        </w:trPr>
        <w:tc>
          <w:tcPr>
            <w:tcW w:w="180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P</w:t>
            </w:r>
            <w:r>
              <w:rPr>
                <w:color w:val="000000"/>
                <w:sz w:val="22"/>
                <w:szCs w:val="22"/>
              </w:rPr>
              <w:t>1</w:t>
            </w:r>
          </w:p>
        </w:tc>
        <w:tc>
          <w:tcPr>
            <w:tcW w:w="1620"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13,33</w:t>
            </w:r>
          </w:p>
        </w:tc>
        <w:tc>
          <w:tcPr>
            <w:tcW w:w="426"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r>
      <w:tr>
        <w:tblPrEx>
          <w:tblCellMar>
            <w:top w:w="0" w:type="dxa"/>
            <w:left w:w="108" w:type="dxa"/>
            <w:bottom w:w="0" w:type="dxa"/>
            <w:right w:w="108" w:type="dxa"/>
          </w:tblCellMar>
        </w:tblPrEx>
        <w:trPr>
          <w:trHeight w:val="292" w:hRule="atLeast"/>
          <w:jc w:val="center"/>
        </w:trPr>
        <w:tc>
          <w:tcPr>
            <w:tcW w:w="180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P</w:t>
            </w:r>
            <w:r>
              <w:rPr>
                <w:color w:val="000000"/>
                <w:sz w:val="22"/>
                <w:szCs w:val="22"/>
              </w:rPr>
              <w:t>2</w:t>
            </w:r>
          </w:p>
        </w:tc>
        <w:tc>
          <w:tcPr>
            <w:tcW w:w="1620"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14,40</w:t>
            </w:r>
          </w:p>
        </w:tc>
        <w:tc>
          <w:tcPr>
            <w:tcW w:w="426"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w:t>
            </w:r>
          </w:p>
        </w:tc>
      </w:tr>
      <w:tr>
        <w:tblPrEx>
          <w:tblCellMar>
            <w:top w:w="0" w:type="dxa"/>
            <w:left w:w="108" w:type="dxa"/>
            <w:bottom w:w="0" w:type="dxa"/>
            <w:right w:w="108" w:type="dxa"/>
          </w:tblCellMar>
        </w:tblPrEx>
        <w:trPr>
          <w:trHeight w:val="292" w:hRule="atLeast"/>
          <w:jc w:val="center"/>
        </w:trPr>
        <w:tc>
          <w:tcPr>
            <w:tcW w:w="1806" w:type="dxa"/>
            <w:tcBorders>
              <w:top w:val="single" w:color="auto" w:sz="4" w:space="0"/>
              <w:bottom w:val="single" w:color="auto" w:sz="4" w:space="0"/>
            </w:tcBorders>
            <w:shd w:val="clear" w:color="auto" w:fill="auto"/>
            <w:noWrap/>
            <w:vAlign w:val="bottom"/>
          </w:tcPr>
          <w:p>
            <w:pPr>
              <w:jc w:val="center"/>
              <w:rPr>
                <w:b/>
                <w:color w:val="000000"/>
                <w:sz w:val="22"/>
                <w:szCs w:val="22"/>
              </w:rPr>
            </w:pPr>
            <w:r>
              <w:rPr>
                <w:b/>
                <w:color w:val="000000"/>
                <w:sz w:val="22"/>
                <w:szCs w:val="22"/>
                <w:lang w:val="id-ID"/>
              </w:rPr>
              <w:t>P</w:t>
            </w:r>
            <w:r>
              <w:rPr>
                <w:b/>
                <w:color w:val="000000"/>
                <w:sz w:val="22"/>
                <w:szCs w:val="22"/>
              </w:rPr>
              <w:t>3</w:t>
            </w:r>
          </w:p>
        </w:tc>
        <w:tc>
          <w:tcPr>
            <w:tcW w:w="1620" w:type="dxa"/>
            <w:tcBorders>
              <w:top w:val="nil"/>
              <w:left w:val="nil"/>
              <w:bottom w:val="nil"/>
              <w:right w:val="nil"/>
            </w:tcBorders>
            <w:shd w:val="clear" w:color="auto" w:fill="auto"/>
            <w:noWrap/>
            <w:vAlign w:val="bottom"/>
          </w:tcPr>
          <w:p>
            <w:pPr>
              <w:jc w:val="right"/>
              <w:rPr>
                <w:b/>
                <w:color w:val="000000"/>
                <w:sz w:val="22"/>
                <w:szCs w:val="22"/>
              </w:rPr>
            </w:pPr>
            <w:r>
              <w:rPr>
                <w:b/>
                <w:color w:val="000000"/>
                <w:sz w:val="22"/>
                <w:szCs w:val="22"/>
              </w:rPr>
              <w:t>15,60</w:t>
            </w:r>
          </w:p>
        </w:tc>
        <w:tc>
          <w:tcPr>
            <w:tcW w:w="426" w:type="dxa"/>
            <w:tcBorders>
              <w:top w:val="single" w:color="auto" w:sz="4" w:space="0"/>
              <w:left w:val="nil"/>
              <w:bottom w:val="single" w:color="auto" w:sz="4" w:space="0"/>
            </w:tcBorders>
            <w:shd w:val="clear" w:color="auto" w:fill="auto"/>
            <w:noWrap/>
            <w:vAlign w:val="bottom"/>
          </w:tcPr>
          <w:p>
            <w:pPr>
              <w:jc w:val="center"/>
              <w:rPr>
                <w:b/>
                <w:color w:val="000000"/>
                <w:sz w:val="22"/>
                <w:szCs w:val="22"/>
              </w:rPr>
            </w:pPr>
            <w:r>
              <w:rPr>
                <w:b/>
                <w:color w:val="000000"/>
                <w:sz w:val="22"/>
                <w:szCs w:val="22"/>
              </w:rPr>
              <w:t>c</w:t>
            </w:r>
          </w:p>
        </w:tc>
      </w:tr>
      <w:tr>
        <w:tblPrEx>
          <w:tblCellMar>
            <w:top w:w="0" w:type="dxa"/>
            <w:left w:w="108" w:type="dxa"/>
            <w:bottom w:w="0" w:type="dxa"/>
            <w:right w:w="108" w:type="dxa"/>
          </w:tblCellMar>
        </w:tblPrEx>
        <w:trPr>
          <w:trHeight w:val="292" w:hRule="atLeast"/>
          <w:jc w:val="center"/>
        </w:trPr>
        <w:tc>
          <w:tcPr>
            <w:tcW w:w="180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P</w:t>
            </w:r>
            <w:r>
              <w:rPr>
                <w:color w:val="000000"/>
                <w:sz w:val="22"/>
                <w:szCs w:val="22"/>
              </w:rPr>
              <w:t>4</w:t>
            </w:r>
          </w:p>
        </w:tc>
        <w:tc>
          <w:tcPr>
            <w:tcW w:w="1620"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14,63</w:t>
            </w:r>
          </w:p>
        </w:tc>
        <w:tc>
          <w:tcPr>
            <w:tcW w:w="426"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w:t>
            </w:r>
          </w:p>
        </w:tc>
      </w:tr>
      <w:tr>
        <w:tblPrEx>
          <w:tblCellMar>
            <w:top w:w="0" w:type="dxa"/>
            <w:left w:w="108" w:type="dxa"/>
            <w:bottom w:w="0" w:type="dxa"/>
            <w:right w:w="108" w:type="dxa"/>
          </w:tblCellMar>
        </w:tblPrEx>
        <w:trPr>
          <w:trHeight w:val="292" w:hRule="atLeast"/>
          <w:jc w:val="center"/>
        </w:trPr>
        <w:tc>
          <w:tcPr>
            <w:tcW w:w="1806"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BNT 5%</w:t>
            </w:r>
          </w:p>
        </w:tc>
        <w:tc>
          <w:tcPr>
            <w:tcW w:w="1620"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0,897</w:t>
            </w:r>
          </w:p>
        </w:tc>
        <w:tc>
          <w:tcPr>
            <w:tcW w:w="426"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 </w:t>
            </w:r>
          </w:p>
        </w:tc>
      </w:tr>
    </w:tbl>
    <w:p>
      <w:pPr>
        <w:ind w:left="1701" w:hanging="1134"/>
        <w:jc w:val="both"/>
        <w:rPr>
          <w:sz w:val="22"/>
          <w:szCs w:val="22"/>
        </w:rPr>
      </w:pPr>
      <w:r>
        <w:rPr>
          <w:sz w:val="22"/>
          <w:szCs w:val="22"/>
        </w:rPr>
        <w:t>Keterangan : Angka yang diikuti oleh huruf yang sama pada kolom dan perlakuaan yang sama berbeda tidak nyata pada uji BNT  5%;</w:t>
      </w:r>
    </w:p>
    <w:p>
      <w:pPr>
        <w:ind w:left="1701" w:hanging="1134"/>
        <w:jc w:val="both"/>
        <w:rPr>
          <w:sz w:val="22"/>
          <w:szCs w:val="22"/>
        </w:rPr>
      </w:pPr>
    </w:p>
    <w:p>
      <w:pPr>
        <w:spacing w:line="360" w:lineRule="auto"/>
        <w:ind w:firstLine="709"/>
        <w:jc w:val="both"/>
        <w:rPr>
          <w:sz w:val="22"/>
          <w:szCs w:val="22"/>
        </w:rPr>
      </w:pPr>
      <w:r>
        <w:rPr>
          <w:sz w:val="22"/>
          <w:szCs w:val="22"/>
        </w:rPr>
        <w:t>Rerata komposisi Media Tanam (K) menggunakan uji BNT 5% menunjukkan taraf Komposisi Tanah : kompos  : arang sekan = 1 : 1 : 1 (K2) dengan jumlah akar paling banyak dibandingkan komposisi media tanam (K0)  F</w:t>
      </w:r>
      <w:r>
        <w:rPr>
          <w:rStyle w:val="128"/>
        </w:rPr>
        <w:t>aktor komposisi media tanam yang berpengaruh terhadap</w:t>
      </w:r>
      <w:r>
        <w:rPr>
          <w:color w:val="000000"/>
          <w:sz w:val="22"/>
          <w:szCs w:val="22"/>
        </w:rPr>
        <w:t xml:space="preserve"> </w:t>
      </w:r>
      <w:r>
        <w:rPr>
          <w:rStyle w:val="128"/>
        </w:rPr>
        <w:t>pertumbuhan akar yaitu ruang</w:t>
      </w:r>
      <w:r>
        <w:rPr>
          <w:color w:val="000000"/>
          <w:sz w:val="22"/>
          <w:szCs w:val="22"/>
        </w:rPr>
        <w:t xml:space="preserve"> </w:t>
      </w:r>
      <w:r>
        <w:rPr>
          <w:rStyle w:val="128"/>
        </w:rPr>
        <w:t xml:space="preserve">pori-pori tanah. Arang sekam memperbaiki sifat fisik dan kimia tanah. </w:t>
      </w:r>
      <w:r>
        <w:rPr>
          <w:sz w:val="22"/>
          <w:szCs w:val="22"/>
        </w:rPr>
        <w:t>Selain itu, abu sekam padi berfungsi untuk menggemburkan tanah, sehingga bisa mempermudah akar tanaman menyerap unsur hara</w:t>
      </w:r>
      <w:r>
        <w:rPr>
          <w:rStyle w:val="128"/>
        </w:rPr>
        <w:t>. Pori-pori tanah adalah</w:t>
      </w:r>
      <w:r>
        <w:rPr>
          <w:color w:val="000000"/>
          <w:sz w:val="22"/>
          <w:szCs w:val="22"/>
        </w:rPr>
        <w:t xml:space="preserve"> </w:t>
      </w:r>
      <w:r>
        <w:rPr>
          <w:rStyle w:val="128"/>
        </w:rPr>
        <w:t>ruang yang dapat ditembus oleh akar dan</w:t>
      </w:r>
      <w:r>
        <w:rPr>
          <w:color w:val="000000"/>
          <w:sz w:val="22"/>
          <w:szCs w:val="22"/>
        </w:rPr>
        <w:t xml:space="preserve"> </w:t>
      </w:r>
      <w:r>
        <w:rPr>
          <w:rStyle w:val="128"/>
        </w:rPr>
        <w:t xml:space="preserve">berisi udara untuk respirasi akar ( Andriana </w:t>
      </w:r>
      <w:r>
        <w:rPr>
          <w:rStyle w:val="128"/>
          <w:i/>
        </w:rPr>
        <w:t>et.al</w:t>
      </w:r>
      <w:r>
        <w:rPr>
          <w:rStyle w:val="128"/>
        </w:rPr>
        <w:t xml:space="preserve">, 2013). </w:t>
      </w:r>
      <w:r>
        <w:rPr>
          <w:color w:val="000000"/>
          <w:sz w:val="22"/>
          <w:szCs w:val="22"/>
        </w:rPr>
        <w:t xml:space="preserve">Sesuai penelitian Hartman </w:t>
      </w:r>
      <w:r>
        <w:rPr>
          <w:i/>
          <w:color w:val="000000"/>
          <w:sz w:val="22"/>
          <w:szCs w:val="22"/>
        </w:rPr>
        <w:t>dkk</w:t>
      </w:r>
      <w:r>
        <w:rPr>
          <w:i/>
          <w:iCs/>
          <w:color w:val="000000"/>
          <w:sz w:val="22"/>
          <w:szCs w:val="22"/>
        </w:rPr>
        <w:t xml:space="preserve">., </w:t>
      </w:r>
      <w:r>
        <w:rPr>
          <w:color w:val="000000"/>
          <w:sz w:val="22"/>
          <w:szCs w:val="22"/>
        </w:rPr>
        <w:t xml:space="preserve">(2002), terbentuknya akar dapat lebih dulu kemudian tunas atau sebakiknya. Jika tunas yang terbentuk lebih dahulu, kondisi ini menggambarkan bahwa dengan tumbuhnya tunas akan membantu tertampungnya suatu senyawa tumbuh dari fotosintat tanaman yang diperlukan untuk pembentukan primordia akar dan proses lebih lanjut dalam mendukung terjadinya pertumbuhan akar. </w:t>
      </w:r>
      <w:r>
        <w:rPr>
          <w:rStyle w:val="128"/>
        </w:rPr>
        <w:t>Keberhasilan stek dicirikan dengan bibit yang memiliki perakaran dan pertumbuhan yang</w:t>
      </w:r>
      <w:r>
        <w:rPr>
          <w:color w:val="000000"/>
          <w:sz w:val="22"/>
          <w:szCs w:val="22"/>
        </w:rPr>
        <w:t xml:space="preserve"> </w:t>
      </w:r>
      <w:r>
        <w:rPr>
          <w:rStyle w:val="128"/>
        </w:rPr>
        <w:t xml:space="preserve">baik dalam jumlah yang banyak pada satuan waktu tertentu </w:t>
      </w:r>
      <w:bookmarkStart w:id="14" w:name="_Hlk186122095"/>
      <w:r>
        <w:rPr>
          <w:rStyle w:val="128"/>
        </w:rPr>
        <w:t>(Pranoto, 1986).</w:t>
      </w:r>
      <w:bookmarkEnd w:id="14"/>
      <w:r>
        <w:rPr>
          <w:sz w:val="22"/>
          <w:szCs w:val="22"/>
        </w:rPr>
        <w:t xml:space="preserve"> </w:t>
      </w:r>
    </w:p>
    <w:p>
      <w:pPr>
        <w:spacing w:line="360" w:lineRule="auto"/>
        <w:ind w:firstLine="709"/>
        <w:jc w:val="both"/>
        <w:rPr>
          <w:rStyle w:val="128"/>
          <w:strike/>
        </w:rPr>
      </w:pPr>
      <w:r>
        <w:rPr>
          <w:sz w:val="22"/>
          <w:szCs w:val="22"/>
        </w:rPr>
        <w:t xml:space="preserve">Perlakuan tunggal panjang stek 25 cm (P3) memiliki jumlah akar terbanyak dibanding jenis stek batang lainnya. Adanya timbunan karbohidrat dalam batang stek mencukupi kebutuhan untuk tumbuh. Sesuai </w:t>
      </w:r>
      <w:bookmarkStart w:id="15" w:name="_Hlk186122119"/>
      <w:r>
        <w:rPr>
          <w:rStyle w:val="128"/>
        </w:rPr>
        <w:t xml:space="preserve">Sparta. A, </w:t>
      </w:r>
      <w:r>
        <w:rPr>
          <w:rStyle w:val="128"/>
          <w:i/>
        </w:rPr>
        <w:t xml:space="preserve">dkk </w:t>
      </w:r>
      <w:r>
        <w:rPr>
          <w:rStyle w:val="128"/>
        </w:rPr>
        <w:t>(2012)</w:t>
      </w:r>
      <w:bookmarkEnd w:id="15"/>
      <w:r>
        <w:rPr>
          <w:rStyle w:val="128"/>
        </w:rPr>
        <w:t xml:space="preserve"> menyampaikan bahwa p</w:t>
      </w:r>
      <w:r>
        <w:rPr>
          <w:sz w:val="22"/>
          <w:szCs w:val="22"/>
        </w:rPr>
        <w:t>anjang bahan stek terkait dengan tersedianya bahan cadangan makanan. Semakin panjang stek semakin besar kesediaan bahan makanannya, begitu juga sebaliknya. Potensi cadangan makanan yang dimiliki masing-masing stek akan menentukan pertumbuhan dan perkembangan bibit</w:t>
      </w:r>
    </w:p>
    <w:p>
      <w:pPr>
        <w:pStyle w:val="38"/>
        <w:numPr>
          <w:ilvl w:val="0"/>
          <w:numId w:val="4"/>
        </w:numPr>
        <w:spacing w:after="160" w:line="259" w:lineRule="auto"/>
        <w:ind w:left="426"/>
        <w:jc w:val="both"/>
        <w:rPr>
          <w:b/>
          <w:sz w:val="22"/>
          <w:szCs w:val="22"/>
        </w:rPr>
      </w:pPr>
      <w:r>
        <w:rPr>
          <w:b/>
          <w:sz w:val="22"/>
          <w:szCs w:val="22"/>
        </w:rPr>
        <w:t>Panjang Akar</w:t>
      </w:r>
    </w:p>
    <w:p>
      <w:pPr>
        <w:tabs>
          <w:tab w:val="left" w:pos="993"/>
        </w:tabs>
        <w:spacing w:line="360" w:lineRule="auto"/>
        <w:ind w:firstLine="567"/>
        <w:jc w:val="both"/>
        <w:rPr>
          <w:bCs/>
          <w:sz w:val="22"/>
          <w:szCs w:val="22"/>
        </w:rPr>
      </w:pPr>
      <w:r>
        <w:rPr>
          <w:sz w:val="22"/>
          <w:szCs w:val="22"/>
        </w:rPr>
        <w:t>Hasil analisa ragam parameter panjang akar (cm) untuk perlakuan tunggal Komposisi media tanam (K), perlakuan tunggal panjang stek (P) dan interaksi atas kedua perlakuan tersebut menunjukkan berbeda sangat nyata.</w:t>
      </w:r>
    </w:p>
    <w:p>
      <w:pPr>
        <w:pStyle w:val="38"/>
        <w:ind w:left="1134" w:hanging="1134"/>
        <w:jc w:val="both"/>
        <w:rPr>
          <w:b/>
          <w:sz w:val="22"/>
          <w:szCs w:val="22"/>
        </w:rPr>
      </w:pPr>
      <w:r>
        <w:rPr>
          <w:b/>
          <w:sz w:val="22"/>
          <w:szCs w:val="22"/>
        </w:rPr>
        <w:t>Tabel 7. Rerata Panjang Akar (cm) Akibat Pengaruh Interaksi Perlakuan Komposisi Media Tanam (</w:t>
      </w:r>
      <w:r>
        <w:rPr>
          <w:b/>
          <w:sz w:val="22"/>
          <w:szCs w:val="22"/>
          <w:lang w:val="id-ID"/>
        </w:rPr>
        <w:t>K</w:t>
      </w:r>
      <w:r>
        <w:rPr>
          <w:b/>
          <w:sz w:val="22"/>
          <w:szCs w:val="22"/>
        </w:rPr>
        <w:t>) dan Perlakuan Panjang Stek (</w:t>
      </w:r>
      <w:r>
        <w:rPr>
          <w:b/>
          <w:sz w:val="22"/>
          <w:szCs w:val="22"/>
          <w:lang w:val="id-ID"/>
        </w:rPr>
        <w:t>P</w:t>
      </w:r>
      <w:r>
        <w:rPr>
          <w:b/>
          <w:sz w:val="22"/>
          <w:szCs w:val="22"/>
        </w:rPr>
        <w:t>) Terhadap Pertumbuhan Bibit Bougenville</w:t>
      </w:r>
    </w:p>
    <w:p>
      <w:pPr>
        <w:pStyle w:val="38"/>
        <w:ind w:left="1134" w:hanging="1134"/>
        <w:jc w:val="both"/>
        <w:rPr>
          <w:sz w:val="22"/>
          <w:szCs w:val="22"/>
        </w:rPr>
      </w:pPr>
    </w:p>
    <w:tbl>
      <w:tblPr>
        <w:tblStyle w:val="12"/>
        <w:tblW w:w="3383" w:type="dxa"/>
        <w:jc w:val="center"/>
        <w:tblLayout w:type="autofit"/>
        <w:tblCellMar>
          <w:top w:w="0" w:type="dxa"/>
          <w:left w:w="108" w:type="dxa"/>
          <w:bottom w:w="0" w:type="dxa"/>
          <w:right w:w="108" w:type="dxa"/>
        </w:tblCellMar>
      </w:tblPr>
      <w:tblGrid>
        <w:gridCol w:w="1437"/>
        <w:gridCol w:w="1365"/>
        <w:gridCol w:w="581"/>
      </w:tblGrid>
      <w:tr>
        <w:tblPrEx>
          <w:tblCellMar>
            <w:top w:w="0" w:type="dxa"/>
            <w:left w:w="108" w:type="dxa"/>
            <w:bottom w:w="0" w:type="dxa"/>
            <w:right w:w="108" w:type="dxa"/>
          </w:tblCellMar>
        </w:tblPrEx>
        <w:trPr>
          <w:trHeight w:val="275" w:hRule="atLeast"/>
          <w:jc w:val="center"/>
        </w:trPr>
        <w:tc>
          <w:tcPr>
            <w:tcW w:w="143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Perlakuan</w:t>
            </w:r>
          </w:p>
        </w:tc>
        <w:tc>
          <w:tcPr>
            <w:tcW w:w="1946"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Rerata</w:t>
            </w:r>
          </w:p>
        </w:tc>
      </w:tr>
      <w:tr>
        <w:tblPrEx>
          <w:tblCellMar>
            <w:top w:w="0" w:type="dxa"/>
            <w:left w:w="108" w:type="dxa"/>
            <w:bottom w:w="0" w:type="dxa"/>
            <w:right w:w="108" w:type="dxa"/>
          </w:tblCellMar>
        </w:tblPrEx>
        <w:trPr>
          <w:trHeight w:val="275" w:hRule="atLeast"/>
          <w:jc w:val="center"/>
        </w:trPr>
        <w:tc>
          <w:tcPr>
            <w:tcW w:w="143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1</w:t>
            </w:r>
          </w:p>
        </w:tc>
        <w:tc>
          <w:tcPr>
            <w:tcW w:w="1365"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13</w:t>
            </w:r>
            <w:r>
              <w:rPr>
                <w:color w:val="000000"/>
                <w:sz w:val="22"/>
                <w:szCs w:val="22"/>
                <w:lang w:val="id-ID"/>
              </w:rPr>
              <w:t>,</w:t>
            </w:r>
            <w:r>
              <w:rPr>
                <w:color w:val="000000"/>
                <w:sz w:val="22"/>
                <w:szCs w:val="22"/>
              </w:rPr>
              <w:t>27</w:t>
            </w:r>
          </w:p>
        </w:tc>
        <w:tc>
          <w:tcPr>
            <w:tcW w:w="581" w:type="dxa"/>
            <w:tcBorders>
              <w:top w:val="nil"/>
              <w:left w:val="nil"/>
              <w:bottom w:val="single" w:color="auto" w:sz="4" w:space="0"/>
            </w:tcBorders>
            <w:shd w:val="clear" w:color="auto" w:fill="auto"/>
            <w:noWrap/>
            <w:vAlign w:val="bottom"/>
          </w:tcPr>
          <w:p>
            <w:pPr>
              <w:rPr>
                <w:color w:val="000000"/>
                <w:sz w:val="22"/>
                <w:szCs w:val="22"/>
              </w:rPr>
            </w:pPr>
            <w:r>
              <w:rPr>
                <w:color w:val="000000"/>
                <w:sz w:val="22"/>
                <w:szCs w:val="22"/>
              </w:rPr>
              <w:t>ab</w:t>
            </w:r>
          </w:p>
        </w:tc>
      </w:tr>
      <w:tr>
        <w:tblPrEx>
          <w:tblCellMar>
            <w:top w:w="0" w:type="dxa"/>
            <w:left w:w="108" w:type="dxa"/>
            <w:bottom w:w="0" w:type="dxa"/>
            <w:right w:w="108" w:type="dxa"/>
          </w:tblCellMar>
        </w:tblPrEx>
        <w:trPr>
          <w:trHeight w:val="275" w:hRule="atLeast"/>
          <w:jc w:val="center"/>
        </w:trPr>
        <w:tc>
          <w:tcPr>
            <w:tcW w:w="143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2</w:t>
            </w:r>
          </w:p>
        </w:tc>
        <w:tc>
          <w:tcPr>
            <w:tcW w:w="1365"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14,75</w:t>
            </w:r>
          </w:p>
        </w:tc>
        <w:tc>
          <w:tcPr>
            <w:tcW w:w="581"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bc</w:t>
            </w:r>
          </w:p>
        </w:tc>
      </w:tr>
      <w:tr>
        <w:tblPrEx>
          <w:tblCellMar>
            <w:top w:w="0" w:type="dxa"/>
            <w:left w:w="108" w:type="dxa"/>
            <w:bottom w:w="0" w:type="dxa"/>
            <w:right w:w="108" w:type="dxa"/>
          </w:tblCellMar>
        </w:tblPrEx>
        <w:trPr>
          <w:trHeight w:val="275" w:hRule="atLeast"/>
          <w:jc w:val="center"/>
        </w:trPr>
        <w:tc>
          <w:tcPr>
            <w:tcW w:w="143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3</w:t>
            </w:r>
          </w:p>
        </w:tc>
        <w:tc>
          <w:tcPr>
            <w:tcW w:w="1365"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15,14</w:t>
            </w:r>
          </w:p>
        </w:tc>
        <w:tc>
          <w:tcPr>
            <w:tcW w:w="581"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c</w:t>
            </w:r>
          </w:p>
        </w:tc>
      </w:tr>
      <w:tr>
        <w:tblPrEx>
          <w:tblCellMar>
            <w:top w:w="0" w:type="dxa"/>
            <w:left w:w="108" w:type="dxa"/>
            <w:bottom w:w="0" w:type="dxa"/>
            <w:right w:w="108" w:type="dxa"/>
          </w:tblCellMar>
        </w:tblPrEx>
        <w:trPr>
          <w:trHeight w:val="275" w:hRule="atLeast"/>
          <w:jc w:val="center"/>
        </w:trPr>
        <w:tc>
          <w:tcPr>
            <w:tcW w:w="143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4</w:t>
            </w:r>
          </w:p>
        </w:tc>
        <w:tc>
          <w:tcPr>
            <w:tcW w:w="1365"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14,41</w:t>
            </w:r>
          </w:p>
        </w:tc>
        <w:tc>
          <w:tcPr>
            <w:tcW w:w="581"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bc</w:t>
            </w:r>
          </w:p>
        </w:tc>
      </w:tr>
      <w:tr>
        <w:tblPrEx>
          <w:tblCellMar>
            <w:top w:w="0" w:type="dxa"/>
            <w:left w:w="108" w:type="dxa"/>
            <w:bottom w:w="0" w:type="dxa"/>
            <w:right w:w="108" w:type="dxa"/>
          </w:tblCellMar>
        </w:tblPrEx>
        <w:trPr>
          <w:trHeight w:val="275" w:hRule="atLeast"/>
          <w:jc w:val="center"/>
        </w:trPr>
        <w:tc>
          <w:tcPr>
            <w:tcW w:w="143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K1P</w:t>
            </w:r>
            <w:r>
              <w:rPr>
                <w:color w:val="000000"/>
                <w:sz w:val="22"/>
                <w:szCs w:val="22"/>
              </w:rPr>
              <w:t>1</w:t>
            </w:r>
          </w:p>
        </w:tc>
        <w:tc>
          <w:tcPr>
            <w:tcW w:w="1365"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12,12</w:t>
            </w:r>
          </w:p>
        </w:tc>
        <w:tc>
          <w:tcPr>
            <w:tcW w:w="581"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a</w:t>
            </w:r>
          </w:p>
        </w:tc>
      </w:tr>
      <w:tr>
        <w:tblPrEx>
          <w:tblCellMar>
            <w:top w:w="0" w:type="dxa"/>
            <w:left w:w="108" w:type="dxa"/>
            <w:bottom w:w="0" w:type="dxa"/>
            <w:right w:w="108" w:type="dxa"/>
          </w:tblCellMar>
        </w:tblPrEx>
        <w:trPr>
          <w:trHeight w:val="275" w:hRule="atLeast"/>
          <w:jc w:val="center"/>
        </w:trPr>
        <w:tc>
          <w:tcPr>
            <w:tcW w:w="143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2</w:t>
            </w:r>
          </w:p>
        </w:tc>
        <w:tc>
          <w:tcPr>
            <w:tcW w:w="1365"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15,45</w:t>
            </w:r>
          </w:p>
        </w:tc>
        <w:tc>
          <w:tcPr>
            <w:tcW w:w="581"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c</w:t>
            </w:r>
          </w:p>
        </w:tc>
      </w:tr>
      <w:tr>
        <w:tblPrEx>
          <w:tblCellMar>
            <w:top w:w="0" w:type="dxa"/>
            <w:left w:w="108" w:type="dxa"/>
            <w:bottom w:w="0" w:type="dxa"/>
            <w:right w:w="108" w:type="dxa"/>
          </w:tblCellMar>
        </w:tblPrEx>
        <w:trPr>
          <w:trHeight w:val="275" w:hRule="atLeast"/>
          <w:jc w:val="center"/>
        </w:trPr>
        <w:tc>
          <w:tcPr>
            <w:tcW w:w="143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3</w:t>
            </w:r>
          </w:p>
        </w:tc>
        <w:tc>
          <w:tcPr>
            <w:tcW w:w="1365"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18,64</w:t>
            </w:r>
          </w:p>
        </w:tc>
        <w:tc>
          <w:tcPr>
            <w:tcW w:w="581"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d</w:t>
            </w:r>
          </w:p>
        </w:tc>
      </w:tr>
      <w:tr>
        <w:tblPrEx>
          <w:tblCellMar>
            <w:top w:w="0" w:type="dxa"/>
            <w:left w:w="108" w:type="dxa"/>
            <w:bottom w:w="0" w:type="dxa"/>
            <w:right w:w="108" w:type="dxa"/>
          </w:tblCellMar>
        </w:tblPrEx>
        <w:trPr>
          <w:trHeight w:val="275" w:hRule="atLeast"/>
          <w:jc w:val="center"/>
        </w:trPr>
        <w:tc>
          <w:tcPr>
            <w:tcW w:w="143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4</w:t>
            </w:r>
          </w:p>
        </w:tc>
        <w:tc>
          <w:tcPr>
            <w:tcW w:w="1365"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18,48</w:t>
            </w:r>
          </w:p>
        </w:tc>
        <w:tc>
          <w:tcPr>
            <w:tcW w:w="581"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d</w:t>
            </w:r>
          </w:p>
        </w:tc>
      </w:tr>
      <w:tr>
        <w:tblPrEx>
          <w:tblCellMar>
            <w:top w:w="0" w:type="dxa"/>
            <w:left w:w="108" w:type="dxa"/>
            <w:bottom w:w="0" w:type="dxa"/>
            <w:right w:w="108" w:type="dxa"/>
          </w:tblCellMar>
        </w:tblPrEx>
        <w:trPr>
          <w:trHeight w:val="275" w:hRule="atLeast"/>
          <w:jc w:val="center"/>
        </w:trPr>
        <w:tc>
          <w:tcPr>
            <w:tcW w:w="143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K2P</w:t>
            </w:r>
            <w:r>
              <w:rPr>
                <w:color w:val="000000"/>
                <w:sz w:val="22"/>
                <w:szCs w:val="22"/>
              </w:rPr>
              <w:t>1</w:t>
            </w:r>
          </w:p>
        </w:tc>
        <w:tc>
          <w:tcPr>
            <w:tcW w:w="1365"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14,40</w:t>
            </w:r>
          </w:p>
        </w:tc>
        <w:tc>
          <w:tcPr>
            <w:tcW w:w="581"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bc</w:t>
            </w:r>
          </w:p>
        </w:tc>
      </w:tr>
      <w:tr>
        <w:tblPrEx>
          <w:tblCellMar>
            <w:top w:w="0" w:type="dxa"/>
            <w:left w:w="108" w:type="dxa"/>
            <w:bottom w:w="0" w:type="dxa"/>
            <w:right w:w="108" w:type="dxa"/>
          </w:tblCellMar>
        </w:tblPrEx>
        <w:trPr>
          <w:trHeight w:val="275" w:hRule="atLeast"/>
          <w:jc w:val="center"/>
        </w:trPr>
        <w:tc>
          <w:tcPr>
            <w:tcW w:w="143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2</w:t>
            </w:r>
          </w:p>
        </w:tc>
        <w:tc>
          <w:tcPr>
            <w:tcW w:w="1365"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17,40</w:t>
            </w:r>
          </w:p>
        </w:tc>
        <w:tc>
          <w:tcPr>
            <w:tcW w:w="581"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d</w:t>
            </w:r>
          </w:p>
        </w:tc>
      </w:tr>
      <w:tr>
        <w:tblPrEx>
          <w:tblCellMar>
            <w:top w:w="0" w:type="dxa"/>
            <w:left w:w="108" w:type="dxa"/>
            <w:bottom w:w="0" w:type="dxa"/>
            <w:right w:w="108" w:type="dxa"/>
          </w:tblCellMar>
        </w:tblPrEx>
        <w:trPr>
          <w:trHeight w:val="275" w:hRule="atLeast"/>
          <w:jc w:val="center"/>
        </w:trPr>
        <w:tc>
          <w:tcPr>
            <w:tcW w:w="1437" w:type="dxa"/>
            <w:tcBorders>
              <w:top w:val="single" w:color="auto" w:sz="4" w:space="0"/>
              <w:bottom w:val="single" w:color="auto" w:sz="4" w:space="0"/>
            </w:tcBorders>
            <w:shd w:val="clear" w:color="auto" w:fill="auto"/>
            <w:noWrap/>
            <w:vAlign w:val="bottom"/>
          </w:tcPr>
          <w:p>
            <w:pPr>
              <w:jc w:val="center"/>
              <w:rPr>
                <w:b/>
                <w:color w:val="000000"/>
                <w:sz w:val="22"/>
                <w:szCs w:val="22"/>
              </w:rPr>
            </w:pPr>
            <w:r>
              <w:rPr>
                <w:b/>
                <w:color w:val="000000"/>
                <w:sz w:val="22"/>
                <w:szCs w:val="22"/>
                <w:lang w:val="id-ID"/>
              </w:rPr>
              <w:t>K</w:t>
            </w:r>
            <w:r>
              <w:rPr>
                <w:b/>
                <w:color w:val="000000"/>
                <w:sz w:val="22"/>
                <w:szCs w:val="22"/>
              </w:rPr>
              <w:t>2</w:t>
            </w:r>
            <w:r>
              <w:rPr>
                <w:b/>
                <w:color w:val="000000"/>
                <w:sz w:val="22"/>
                <w:szCs w:val="22"/>
                <w:lang w:val="id-ID"/>
              </w:rPr>
              <w:t>P</w:t>
            </w:r>
            <w:r>
              <w:rPr>
                <w:b/>
                <w:color w:val="000000"/>
                <w:sz w:val="22"/>
                <w:szCs w:val="22"/>
              </w:rPr>
              <w:t>3</w:t>
            </w:r>
          </w:p>
        </w:tc>
        <w:tc>
          <w:tcPr>
            <w:tcW w:w="1365" w:type="dxa"/>
            <w:tcBorders>
              <w:top w:val="nil"/>
              <w:left w:val="nil"/>
              <w:bottom w:val="single" w:color="auto" w:sz="4" w:space="0"/>
              <w:right w:val="nil"/>
            </w:tcBorders>
            <w:shd w:val="clear" w:color="auto" w:fill="auto"/>
            <w:noWrap/>
            <w:vAlign w:val="bottom"/>
          </w:tcPr>
          <w:p>
            <w:pPr>
              <w:jc w:val="right"/>
              <w:rPr>
                <w:b/>
                <w:color w:val="000000"/>
                <w:sz w:val="22"/>
                <w:szCs w:val="22"/>
              </w:rPr>
            </w:pPr>
            <w:r>
              <w:rPr>
                <w:b/>
                <w:color w:val="000000"/>
                <w:sz w:val="22"/>
                <w:szCs w:val="22"/>
              </w:rPr>
              <w:t>22,84</w:t>
            </w:r>
          </w:p>
        </w:tc>
        <w:tc>
          <w:tcPr>
            <w:tcW w:w="581"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f</w:t>
            </w:r>
          </w:p>
        </w:tc>
      </w:tr>
      <w:tr>
        <w:tblPrEx>
          <w:tblCellMar>
            <w:top w:w="0" w:type="dxa"/>
            <w:left w:w="108" w:type="dxa"/>
            <w:bottom w:w="0" w:type="dxa"/>
            <w:right w:w="108" w:type="dxa"/>
          </w:tblCellMar>
        </w:tblPrEx>
        <w:trPr>
          <w:trHeight w:val="275" w:hRule="atLeast"/>
          <w:jc w:val="center"/>
        </w:trPr>
        <w:tc>
          <w:tcPr>
            <w:tcW w:w="143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4</w:t>
            </w:r>
          </w:p>
        </w:tc>
        <w:tc>
          <w:tcPr>
            <w:tcW w:w="1365"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20,56</w:t>
            </w:r>
          </w:p>
        </w:tc>
        <w:tc>
          <w:tcPr>
            <w:tcW w:w="581" w:type="dxa"/>
            <w:tcBorders>
              <w:top w:val="single" w:color="auto" w:sz="4" w:space="0"/>
              <w:left w:val="nil"/>
              <w:bottom w:val="single" w:color="auto" w:sz="4" w:space="0"/>
            </w:tcBorders>
            <w:shd w:val="clear" w:color="auto" w:fill="auto"/>
            <w:noWrap/>
            <w:vAlign w:val="bottom"/>
          </w:tcPr>
          <w:p>
            <w:pPr>
              <w:rPr>
                <w:color w:val="000000"/>
                <w:sz w:val="22"/>
                <w:szCs w:val="22"/>
              </w:rPr>
            </w:pPr>
            <w:r>
              <w:rPr>
                <w:color w:val="000000"/>
                <w:sz w:val="22"/>
                <w:szCs w:val="22"/>
              </w:rPr>
              <w:t>e</w:t>
            </w:r>
          </w:p>
        </w:tc>
      </w:tr>
      <w:tr>
        <w:tblPrEx>
          <w:tblCellMar>
            <w:top w:w="0" w:type="dxa"/>
            <w:left w:w="108" w:type="dxa"/>
            <w:bottom w:w="0" w:type="dxa"/>
            <w:right w:w="108" w:type="dxa"/>
          </w:tblCellMar>
        </w:tblPrEx>
        <w:trPr>
          <w:trHeight w:val="275" w:hRule="atLeast"/>
          <w:jc w:val="center"/>
        </w:trPr>
        <w:tc>
          <w:tcPr>
            <w:tcW w:w="1437"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BNT 5%</w:t>
            </w:r>
          </w:p>
        </w:tc>
        <w:tc>
          <w:tcPr>
            <w:tcW w:w="1365"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1,63</w:t>
            </w:r>
          </w:p>
        </w:tc>
        <w:tc>
          <w:tcPr>
            <w:tcW w:w="581"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 </w:t>
            </w:r>
          </w:p>
        </w:tc>
      </w:tr>
    </w:tbl>
    <w:p>
      <w:pPr>
        <w:ind w:left="1701" w:hanging="1134"/>
        <w:jc w:val="both"/>
        <w:rPr>
          <w:szCs w:val="24"/>
        </w:rPr>
      </w:pPr>
      <w:r>
        <w:rPr>
          <w:szCs w:val="24"/>
        </w:rPr>
        <w:t>Keterangan : Angka yang diikuti oleh huruf yang sama pada kolom dan perlakuaan yang sama menunjukkan berbeda tidak nyata pada uji BNT  5%;</w:t>
      </w:r>
    </w:p>
    <w:p>
      <w:pPr>
        <w:tabs>
          <w:tab w:val="left" w:pos="567"/>
        </w:tabs>
        <w:spacing w:line="360" w:lineRule="auto"/>
        <w:jc w:val="both"/>
        <w:rPr>
          <w:bCs/>
          <w:sz w:val="22"/>
          <w:szCs w:val="22"/>
        </w:rPr>
      </w:pPr>
    </w:p>
    <w:p>
      <w:pPr>
        <w:spacing w:line="360" w:lineRule="auto"/>
        <w:ind w:firstLine="709"/>
        <w:jc w:val="both"/>
        <w:rPr>
          <w:rStyle w:val="128"/>
        </w:rPr>
      </w:pPr>
      <w:r>
        <w:rPr>
          <w:rStyle w:val="128"/>
        </w:rPr>
        <w:t xml:space="preserve">Rerata panjang akar terpanjang terjadi pada interaksi antara komposisi media tanam (K2) dan panjang stek 25 cm (P3). Komposisi media tanam campuran tanah, kompos dan arang sekam (1 :1:1) merupakan media tanam ideal dengan porositas dan kandungan hara yang cukup tersedia selama pertumbuhan stek. Dalam penelitiannya </w:t>
      </w:r>
      <w:bookmarkStart w:id="16" w:name="_Hlk186122248"/>
      <w:r>
        <w:rPr>
          <w:rStyle w:val="128"/>
        </w:rPr>
        <w:t xml:space="preserve">Supriyanto dan </w:t>
      </w:r>
      <w:r>
        <w:rPr>
          <w:bCs/>
          <w:sz w:val="22"/>
          <w:szCs w:val="22"/>
          <w:lang w:val="fi-FI"/>
        </w:rPr>
        <w:t>Fidryaningsih Fiona</w:t>
      </w:r>
      <w:r>
        <w:rPr>
          <w:color w:val="000000"/>
          <w:sz w:val="22"/>
          <w:szCs w:val="22"/>
        </w:rPr>
        <w:t xml:space="preserve"> </w:t>
      </w:r>
      <w:r>
        <w:rPr>
          <w:rStyle w:val="128"/>
        </w:rPr>
        <w:t>(2010),</w:t>
      </w:r>
      <w:bookmarkEnd w:id="16"/>
      <w:r>
        <w:rPr>
          <w:rStyle w:val="128"/>
        </w:rPr>
        <w:t xml:space="preserve"> menjelaskan bahwa penambahan</w:t>
      </w:r>
      <w:r>
        <w:rPr>
          <w:color w:val="000000"/>
          <w:sz w:val="22"/>
          <w:szCs w:val="22"/>
        </w:rPr>
        <w:t xml:space="preserve"> </w:t>
      </w:r>
      <w:r>
        <w:rPr>
          <w:rStyle w:val="128"/>
        </w:rPr>
        <w:t>arang sekam dapat meningkatkan panjang</w:t>
      </w:r>
      <w:r>
        <w:rPr>
          <w:color w:val="000000"/>
          <w:sz w:val="22"/>
          <w:szCs w:val="22"/>
        </w:rPr>
        <w:t xml:space="preserve"> </w:t>
      </w:r>
      <w:r>
        <w:rPr>
          <w:rStyle w:val="128"/>
        </w:rPr>
        <w:t>akar, hal ini dikarenakan pada media yang telah dicampur dengan arang sekam,</w:t>
      </w:r>
      <w:r>
        <w:rPr>
          <w:color w:val="000000"/>
          <w:sz w:val="22"/>
          <w:szCs w:val="22"/>
        </w:rPr>
        <w:t xml:space="preserve"> </w:t>
      </w:r>
      <w:r>
        <w:rPr>
          <w:rStyle w:val="128"/>
        </w:rPr>
        <w:t>struktur tanahnya tidak lagi padat. Akar pada stek terbentuk secara adventif dari kambium dan bagian node</w:t>
      </w:r>
      <w:r>
        <w:rPr>
          <w:color w:val="000000"/>
          <w:sz w:val="22"/>
          <w:szCs w:val="22"/>
        </w:rPr>
        <w:t xml:space="preserve"> </w:t>
      </w:r>
      <w:r>
        <w:rPr>
          <w:rStyle w:val="128"/>
        </w:rPr>
        <w:t xml:space="preserve">(buku). Lebih lanjut menurut </w:t>
      </w:r>
      <w:bookmarkStart w:id="17" w:name="_Hlk186122290"/>
      <w:r>
        <w:rPr>
          <w:rStyle w:val="128"/>
        </w:rPr>
        <w:t>Moko (2004)</w:t>
      </w:r>
      <w:bookmarkEnd w:id="17"/>
      <w:r>
        <w:rPr>
          <w:rStyle w:val="128"/>
        </w:rPr>
        <w:t xml:space="preserve"> akar pada stek terbentuk karena pelukaan, dan akar terbentuk dari jaringan parenchym. Dengan panjang stek 25 cm mendukung terbentuknya premordia akar dengan adanya cadangan makanan dalam batang stek. </w:t>
      </w:r>
    </w:p>
    <w:p>
      <w:pPr>
        <w:pStyle w:val="38"/>
        <w:numPr>
          <w:ilvl w:val="0"/>
          <w:numId w:val="4"/>
        </w:numPr>
        <w:tabs>
          <w:tab w:val="left" w:pos="567"/>
        </w:tabs>
        <w:spacing w:line="360" w:lineRule="auto"/>
        <w:ind w:left="426"/>
        <w:jc w:val="both"/>
        <w:rPr>
          <w:b/>
          <w:bCs/>
          <w:sz w:val="22"/>
          <w:szCs w:val="22"/>
          <w:lang w:val="id-ID"/>
        </w:rPr>
      </w:pPr>
      <w:r>
        <w:rPr>
          <w:b/>
          <w:bCs/>
          <w:sz w:val="22"/>
          <w:szCs w:val="22"/>
          <w:lang w:val="id-ID"/>
        </w:rPr>
        <w:t>PROSENTASE BIBIT JADI</w:t>
      </w:r>
    </w:p>
    <w:p>
      <w:pPr>
        <w:tabs>
          <w:tab w:val="left" w:pos="567"/>
        </w:tabs>
        <w:spacing w:line="360" w:lineRule="auto"/>
        <w:jc w:val="both"/>
        <w:rPr>
          <w:bCs/>
          <w:sz w:val="22"/>
          <w:szCs w:val="22"/>
        </w:rPr>
      </w:pPr>
      <w:r>
        <w:rPr>
          <w:sz w:val="24"/>
          <w:szCs w:val="24"/>
        </w:rPr>
        <w:tab/>
      </w:r>
      <w:r>
        <w:rPr>
          <w:sz w:val="24"/>
          <w:szCs w:val="24"/>
        </w:rPr>
        <w:t xml:space="preserve">Hasil analisa sidik ragam parameter prosentase stek jadi (%) diketahui bahwa terdapat pengaruh berbeda nyata pada perlakuan tunggal komposisi media tanam  (K), namun perlakuan tunggal panjang stek memberikan pengaruh berbeda tidak nyata. Interaksi dari kedua perlakuan komposisi media tanam dan panjang stek menunjukkan pengaruh berbeda sangat nyata. </w:t>
      </w:r>
    </w:p>
    <w:p>
      <w:pPr>
        <w:pStyle w:val="38"/>
        <w:ind w:left="851" w:hanging="851"/>
        <w:jc w:val="both"/>
        <w:rPr>
          <w:b/>
          <w:sz w:val="22"/>
          <w:szCs w:val="22"/>
        </w:rPr>
      </w:pPr>
      <w:r>
        <w:rPr>
          <w:b/>
          <w:sz w:val="22"/>
          <w:szCs w:val="22"/>
        </w:rPr>
        <w:t>Tabel 8. Rerata Prosentase Stek Jadi (%) Akibat Pengaruh Interaksi Perlakuan Komposisi Media Tanam (K) dan Perlakuan Panjang Stek (P) Terhadap Pertumbuhan Bibit Bougenville</w:t>
      </w:r>
    </w:p>
    <w:p>
      <w:pPr>
        <w:pStyle w:val="38"/>
        <w:ind w:left="1985" w:hanging="1418"/>
        <w:jc w:val="both"/>
        <w:rPr>
          <w:sz w:val="22"/>
          <w:szCs w:val="22"/>
        </w:rPr>
      </w:pPr>
    </w:p>
    <w:tbl>
      <w:tblPr>
        <w:tblStyle w:val="12"/>
        <w:tblW w:w="3220" w:type="dxa"/>
        <w:jc w:val="center"/>
        <w:tblLayout w:type="autofit"/>
        <w:tblCellMar>
          <w:top w:w="0" w:type="dxa"/>
          <w:left w:w="108" w:type="dxa"/>
          <w:bottom w:w="0" w:type="dxa"/>
          <w:right w:w="108" w:type="dxa"/>
        </w:tblCellMar>
      </w:tblPr>
      <w:tblGrid>
        <w:gridCol w:w="1300"/>
        <w:gridCol w:w="961"/>
        <w:gridCol w:w="959"/>
      </w:tblGrid>
      <w:tr>
        <w:tblPrEx>
          <w:tblCellMar>
            <w:top w:w="0" w:type="dxa"/>
            <w:left w:w="108" w:type="dxa"/>
            <w:bottom w:w="0" w:type="dxa"/>
            <w:right w:w="108" w:type="dxa"/>
          </w:tblCellMar>
        </w:tblPrEx>
        <w:trPr>
          <w:trHeight w:val="300" w:hRule="atLeast"/>
          <w:jc w:val="center"/>
        </w:trPr>
        <w:tc>
          <w:tcPr>
            <w:tcW w:w="1300"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Perlakuan</w:t>
            </w:r>
          </w:p>
        </w:tc>
        <w:tc>
          <w:tcPr>
            <w:tcW w:w="1920" w:type="dxa"/>
            <w:gridSpan w:val="2"/>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Rerata</w:t>
            </w:r>
          </w:p>
        </w:tc>
      </w:tr>
      <w:tr>
        <w:tblPrEx>
          <w:tblCellMar>
            <w:top w:w="0" w:type="dxa"/>
            <w:left w:w="108" w:type="dxa"/>
            <w:bottom w:w="0" w:type="dxa"/>
            <w:right w:w="108" w:type="dxa"/>
          </w:tblCellMar>
        </w:tblPrEx>
        <w:trPr>
          <w:trHeight w:val="300" w:hRule="atLeast"/>
          <w:jc w:val="center"/>
        </w:trPr>
        <w:tc>
          <w:tcPr>
            <w:tcW w:w="1300"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1</w:t>
            </w:r>
          </w:p>
        </w:tc>
        <w:tc>
          <w:tcPr>
            <w:tcW w:w="961"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53,33</w:t>
            </w:r>
          </w:p>
        </w:tc>
        <w:tc>
          <w:tcPr>
            <w:tcW w:w="959" w:type="dxa"/>
            <w:tcBorders>
              <w:top w:val="nil"/>
              <w:left w:val="nil"/>
              <w:bottom w:val="single" w:color="auto" w:sz="4" w:space="0"/>
            </w:tcBorders>
            <w:shd w:val="clear" w:color="auto" w:fill="auto"/>
            <w:noWrap/>
            <w:vAlign w:val="bottom"/>
          </w:tcPr>
          <w:p>
            <w:pPr>
              <w:jc w:val="center"/>
              <w:rPr>
                <w:color w:val="000000"/>
                <w:sz w:val="22"/>
                <w:szCs w:val="22"/>
              </w:rPr>
            </w:pPr>
            <w:r>
              <w:rPr>
                <w:color w:val="000000"/>
                <w:sz w:val="22"/>
                <w:szCs w:val="22"/>
              </w:rPr>
              <w:t>bcd</w:t>
            </w:r>
          </w:p>
        </w:tc>
      </w:tr>
      <w:tr>
        <w:tblPrEx>
          <w:tblCellMar>
            <w:top w:w="0" w:type="dxa"/>
            <w:left w:w="108" w:type="dxa"/>
            <w:bottom w:w="0" w:type="dxa"/>
            <w:right w:w="108" w:type="dxa"/>
          </w:tblCellMar>
        </w:tblPrEx>
        <w:trPr>
          <w:trHeight w:val="300" w:hRule="atLeast"/>
          <w:jc w:val="center"/>
        </w:trPr>
        <w:tc>
          <w:tcPr>
            <w:tcW w:w="1300"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2</w:t>
            </w:r>
          </w:p>
        </w:tc>
        <w:tc>
          <w:tcPr>
            <w:tcW w:w="961"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46,67</w:t>
            </w:r>
          </w:p>
        </w:tc>
        <w:tc>
          <w:tcPr>
            <w:tcW w:w="959"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ab</w:t>
            </w:r>
          </w:p>
        </w:tc>
      </w:tr>
      <w:tr>
        <w:tblPrEx>
          <w:tblCellMar>
            <w:top w:w="0" w:type="dxa"/>
            <w:left w:w="108" w:type="dxa"/>
            <w:bottom w:w="0" w:type="dxa"/>
            <w:right w:w="108" w:type="dxa"/>
          </w:tblCellMar>
        </w:tblPrEx>
        <w:trPr>
          <w:trHeight w:val="300" w:hRule="atLeast"/>
          <w:jc w:val="center"/>
        </w:trPr>
        <w:tc>
          <w:tcPr>
            <w:tcW w:w="1300"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3</w:t>
            </w:r>
          </w:p>
        </w:tc>
        <w:tc>
          <w:tcPr>
            <w:tcW w:w="961"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53,33</w:t>
            </w:r>
          </w:p>
        </w:tc>
        <w:tc>
          <w:tcPr>
            <w:tcW w:w="959"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bcd</w:t>
            </w:r>
          </w:p>
        </w:tc>
      </w:tr>
      <w:tr>
        <w:tblPrEx>
          <w:tblCellMar>
            <w:top w:w="0" w:type="dxa"/>
            <w:left w:w="108" w:type="dxa"/>
            <w:bottom w:w="0" w:type="dxa"/>
            <w:right w:w="108" w:type="dxa"/>
          </w:tblCellMar>
        </w:tblPrEx>
        <w:trPr>
          <w:trHeight w:val="300" w:hRule="atLeast"/>
          <w:jc w:val="center"/>
        </w:trPr>
        <w:tc>
          <w:tcPr>
            <w:tcW w:w="1300"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4</w:t>
            </w:r>
          </w:p>
        </w:tc>
        <w:tc>
          <w:tcPr>
            <w:tcW w:w="961"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60,00</w:t>
            </w:r>
          </w:p>
        </w:tc>
        <w:tc>
          <w:tcPr>
            <w:tcW w:w="959"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 xml:space="preserve">  def</w:t>
            </w:r>
          </w:p>
        </w:tc>
      </w:tr>
      <w:tr>
        <w:tblPrEx>
          <w:tblCellMar>
            <w:top w:w="0" w:type="dxa"/>
            <w:left w:w="108" w:type="dxa"/>
            <w:bottom w:w="0" w:type="dxa"/>
            <w:right w:w="108" w:type="dxa"/>
          </w:tblCellMar>
        </w:tblPrEx>
        <w:trPr>
          <w:trHeight w:val="300" w:hRule="atLeast"/>
          <w:jc w:val="center"/>
        </w:trPr>
        <w:tc>
          <w:tcPr>
            <w:tcW w:w="1300"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K1P</w:t>
            </w:r>
            <w:r>
              <w:rPr>
                <w:color w:val="000000"/>
                <w:sz w:val="22"/>
                <w:szCs w:val="22"/>
              </w:rPr>
              <w:t>1</w:t>
            </w:r>
          </w:p>
        </w:tc>
        <w:tc>
          <w:tcPr>
            <w:tcW w:w="961"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50,00</w:t>
            </w:r>
          </w:p>
        </w:tc>
        <w:tc>
          <w:tcPr>
            <w:tcW w:w="959"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bc</w:t>
            </w:r>
          </w:p>
        </w:tc>
      </w:tr>
      <w:tr>
        <w:tblPrEx>
          <w:tblCellMar>
            <w:top w:w="0" w:type="dxa"/>
            <w:left w:w="108" w:type="dxa"/>
            <w:bottom w:w="0" w:type="dxa"/>
            <w:right w:w="108" w:type="dxa"/>
          </w:tblCellMar>
        </w:tblPrEx>
        <w:trPr>
          <w:trHeight w:val="300" w:hRule="atLeast"/>
          <w:jc w:val="center"/>
        </w:trPr>
        <w:tc>
          <w:tcPr>
            <w:tcW w:w="1300"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2</w:t>
            </w:r>
          </w:p>
        </w:tc>
        <w:tc>
          <w:tcPr>
            <w:tcW w:w="961"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66,67</w:t>
            </w:r>
          </w:p>
        </w:tc>
        <w:tc>
          <w:tcPr>
            <w:tcW w:w="959"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 xml:space="preserve">  ef</w:t>
            </w:r>
          </w:p>
        </w:tc>
      </w:tr>
      <w:tr>
        <w:tblPrEx>
          <w:tblCellMar>
            <w:top w:w="0" w:type="dxa"/>
            <w:left w:w="108" w:type="dxa"/>
            <w:bottom w:w="0" w:type="dxa"/>
            <w:right w:w="108" w:type="dxa"/>
          </w:tblCellMar>
        </w:tblPrEx>
        <w:trPr>
          <w:trHeight w:val="300" w:hRule="atLeast"/>
          <w:jc w:val="center"/>
        </w:trPr>
        <w:tc>
          <w:tcPr>
            <w:tcW w:w="1300"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3</w:t>
            </w:r>
          </w:p>
        </w:tc>
        <w:tc>
          <w:tcPr>
            <w:tcW w:w="961"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53,33</w:t>
            </w:r>
          </w:p>
        </w:tc>
        <w:tc>
          <w:tcPr>
            <w:tcW w:w="959"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bcd</w:t>
            </w:r>
          </w:p>
        </w:tc>
      </w:tr>
      <w:tr>
        <w:tblPrEx>
          <w:tblCellMar>
            <w:top w:w="0" w:type="dxa"/>
            <w:left w:w="108" w:type="dxa"/>
            <w:bottom w:w="0" w:type="dxa"/>
            <w:right w:w="108" w:type="dxa"/>
          </w:tblCellMar>
        </w:tblPrEx>
        <w:trPr>
          <w:trHeight w:val="300" w:hRule="atLeast"/>
          <w:jc w:val="center"/>
        </w:trPr>
        <w:tc>
          <w:tcPr>
            <w:tcW w:w="1300"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4</w:t>
            </w:r>
          </w:p>
        </w:tc>
        <w:tc>
          <w:tcPr>
            <w:tcW w:w="961"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40,00</w:t>
            </w:r>
          </w:p>
        </w:tc>
        <w:tc>
          <w:tcPr>
            <w:tcW w:w="959"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a</w:t>
            </w:r>
          </w:p>
        </w:tc>
      </w:tr>
      <w:tr>
        <w:tblPrEx>
          <w:tblCellMar>
            <w:top w:w="0" w:type="dxa"/>
            <w:left w:w="108" w:type="dxa"/>
            <w:bottom w:w="0" w:type="dxa"/>
            <w:right w:w="108" w:type="dxa"/>
          </w:tblCellMar>
        </w:tblPrEx>
        <w:trPr>
          <w:trHeight w:val="300" w:hRule="atLeast"/>
          <w:jc w:val="center"/>
        </w:trPr>
        <w:tc>
          <w:tcPr>
            <w:tcW w:w="1300"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K2P</w:t>
            </w:r>
            <w:r>
              <w:rPr>
                <w:color w:val="000000"/>
                <w:sz w:val="22"/>
                <w:szCs w:val="22"/>
              </w:rPr>
              <w:t>1</w:t>
            </w:r>
          </w:p>
        </w:tc>
        <w:tc>
          <w:tcPr>
            <w:tcW w:w="961" w:type="dxa"/>
            <w:tcBorders>
              <w:top w:val="nil"/>
              <w:left w:val="nil"/>
              <w:bottom w:val="nil"/>
              <w:right w:val="nil"/>
            </w:tcBorders>
            <w:shd w:val="clear" w:color="auto" w:fill="auto"/>
            <w:noWrap/>
            <w:vAlign w:val="bottom"/>
          </w:tcPr>
          <w:p>
            <w:pPr>
              <w:jc w:val="right"/>
              <w:rPr>
                <w:color w:val="000000"/>
                <w:sz w:val="22"/>
                <w:szCs w:val="22"/>
              </w:rPr>
            </w:pPr>
            <w:r>
              <w:rPr>
                <w:color w:val="000000"/>
                <w:sz w:val="22"/>
                <w:szCs w:val="22"/>
              </w:rPr>
              <w:t>56,67</w:t>
            </w:r>
          </w:p>
        </w:tc>
        <w:tc>
          <w:tcPr>
            <w:tcW w:w="959"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bcde</w:t>
            </w:r>
          </w:p>
        </w:tc>
      </w:tr>
      <w:tr>
        <w:tblPrEx>
          <w:tblCellMar>
            <w:top w:w="0" w:type="dxa"/>
            <w:left w:w="108" w:type="dxa"/>
            <w:bottom w:w="0" w:type="dxa"/>
            <w:right w:w="108" w:type="dxa"/>
          </w:tblCellMar>
        </w:tblPrEx>
        <w:trPr>
          <w:trHeight w:val="300" w:hRule="atLeast"/>
          <w:jc w:val="center"/>
        </w:trPr>
        <w:tc>
          <w:tcPr>
            <w:tcW w:w="1300"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2</w:t>
            </w:r>
          </w:p>
        </w:tc>
        <w:tc>
          <w:tcPr>
            <w:tcW w:w="961"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56,67</w:t>
            </w:r>
          </w:p>
        </w:tc>
        <w:tc>
          <w:tcPr>
            <w:tcW w:w="959"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bcdef</w:t>
            </w:r>
          </w:p>
        </w:tc>
      </w:tr>
      <w:tr>
        <w:tblPrEx>
          <w:tblCellMar>
            <w:top w:w="0" w:type="dxa"/>
            <w:left w:w="108" w:type="dxa"/>
            <w:bottom w:w="0" w:type="dxa"/>
            <w:right w:w="108" w:type="dxa"/>
          </w:tblCellMar>
        </w:tblPrEx>
        <w:trPr>
          <w:trHeight w:val="300" w:hRule="atLeast"/>
          <w:jc w:val="center"/>
        </w:trPr>
        <w:tc>
          <w:tcPr>
            <w:tcW w:w="1300" w:type="dxa"/>
            <w:tcBorders>
              <w:top w:val="single" w:color="auto" w:sz="4" w:space="0"/>
              <w:bottom w:val="single" w:color="auto" w:sz="4" w:space="0"/>
            </w:tcBorders>
            <w:shd w:val="clear" w:color="auto" w:fill="auto"/>
            <w:noWrap/>
            <w:vAlign w:val="bottom"/>
          </w:tcPr>
          <w:p>
            <w:pPr>
              <w:jc w:val="center"/>
              <w:rPr>
                <w:b/>
                <w:color w:val="000000"/>
                <w:sz w:val="22"/>
                <w:szCs w:val="22"/>
              </w:rPr>
            </w:pPr>
            <w:r>
              <w:rPr>
                <w:b/>
                <w:color w:val="000000"/>
                <w:sz w:val="22"/>
                <w:szCs w:val="22"/>
                <w:lang w:val="id-ID"/>
              </w:rPr>
              <w:t>K</w:t>
            </w:r>
            <w:r>
              <w:rPr>
                <w:b/>
                <w:color w:val="000000"/>
                <w:sz w:val="22"/>
                <w:szCs w:val="22"/>
              </w:rPr>
              <w:t>2</w:t>
            </w:r>
            <w:r>
              <w:rPr>
                <w:b/>
                <w:color w:val="000000"/>
                <w:sz w:val="22"/>
                <w:szCs w:val="22"/>
                <w:lang w:val="id-ID"/>
              </w:rPr>
              <w:t>P</w:t>
            </w:r>
            <w:r>
              <w:rPr>
                <w:b/>
                <w:color w:val="000000"/>
                <w:sz w:val="22"/>
                <w:szCs w:val="22"/>
              </w:rPr>
              <w:t>3</w:t>
            </w:r>
          </w:p>
        </w:tc>
        <w:tc>
          <w:tcPr>
            <w:tcW w:w="961" w:type="dxa"/>
            <w:tcBorders>
              <w:top w:val="nil"/>
              <w:left w:val="nil"/>
              <w:bottom w:val="nil"/>
              <w:right w:val="nil"/>
            </w:tcBorders>
            <w:shd w:val="clear" w:color="auto" w:fill="auto"/>
            <w:noWrap/>
            <w:vAlign w:val="bottom"/>
          </w:tcPr>
          <w:p>
            <w:pPr>
              <w:jc w:val="right"/>
              <w:rPr>
                <w:b/>
                <w:color w:val="000000"/>
                <w:sz w:val="22"/>
                <w:szCs w:val="22"/>
              </w:rPr>
            </w:pPr>
            <w:r>
              <w:rPr>
                <w:b/>
                <w:color w:val="000000"/>
                <w:sz w:val="22"/>
                <w:szCs w:val="22"/>
              </w:rPr>
              <w:t>70,00</w:t>
            </w:r>
          </w:p>
        </w:tc>
        <w:tc>
          <w:tcPr>
            <w:tcW w:w="959"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b/>
                <w:color w:val="000000"/>
                <w:sz w:val="22"/>
                <w:szCs w:val="22"/>
              </w:rPr>
              <w:t xml:space="preserve">  </w:t>
            </w:r>
            <w:r>
              <w:rPr>
                <w:color w:val="000000"/>
                <w:sz w:val="22"/>
                <w:szCs w:val="22"/>
              </w:rPr>
              <w:t>f</w:t>
            </w:r>
          </w:p>
        </w:tc>
      </w:tr>
      <w:tr>
        <w:tblPrEx>
          <w:tblCellMar>
            <w:top w:w="0" w:type="dxa"/>
            <w:left w:w="108" w:type="dxa"/>
            <w:bottom w:w="0" w:type="dxa"/>
            <w:right w:w="108" w:type="dxa"/>
          </w:tblCellMar>
        </w:tblPrEx>
        <w:trPr>
          <w:trHeight w:val="300" w:hRule="atLeast"/>
          <w:jc w:val="center"/>
        </w:trPr>
        <w:tc>
          <w:tcPr>
            <w:tcW w:w="1300"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4</w:t>
            </w:r>
          </w:p>
        </w:tc>
        <w:tc>
          <w:tcPr>
            <w:tcW w:w="961" w:type="dxa"/>
            <w:tcBorders>
              <w:top w:val="single" w:color="auto" w:sz="4" w:space="0"/>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63,33</w:t>
            </w:r>
          </w:p>
        </w:tc>
        <w:tc>
          <w:tcPr>
            <w:tcW w:w="959"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 xml:space="preserve">  ef</w:t>
            </w:r>
          </w:p>
        </w:tc>
      </w:tr>
      <w:tr>
        <w:tblPrEx>
          <w:tblCellMar>
            <w:top w:w="0" w:type="dxa"/>
            <w:left w:w="108" w:type="dxa"/>
            <w:bottom w:w="0" w:type="dxa"/>
            <w:right w:w="108" w:type="dxa"/>
          </w:tblCellMar>
        </w:tblPrEx>
        <w:trPr>
          <w:trHeight w:val="300" w:hRule="atLeast"/>
          <w:jc w:val="center"/>
        </w:trPr>
        <w:tc>
          <w:tcPr>
            <w:tcW w:w="1300" w:type="dxa"/>
            <w:tcBorders>
              <w:top w:val="single" w:color="auto" w:sz="4" w:space="0"/>
              <w:bottom w:val="single" w:color="auto" w:sz="4" w:space="0"/>
            </w:tcBorders>
            <w:shd w:val="clear" w:color="auto" w:fill="auto"/>
            <w:noWrap/>
            <w:vAlign w:val="bottom"/>
          </w:tcPr>
          <w:p>
            <w:pPr>
              <w:jc w:val="center"/>
              <w:rPr>
                <w:color w:val="000000"/>
                <w:sz w:val="22"/>
                <w:szCs w:val="22"/>
              </w:rPr>
            </w:pPr>
            <w:r>
              <w:rPr>
                <w:color w:val="000000"/>
                <w:sz w:val="22"/>
                <w:szCs w:val="22"/>
              </w:rPr>
              <w:t>BNT 5%</w:t>
            </w:r>
          </w:p>
        </w:tc>
        <w:tc>
          <w:tcPr>
            <w:tcW w:w="961" w:type="dxa"/>
            <w:tcBorders>
              <w:top w:val="nil"/>
              <w:left w:val="nil"/>
              <w:bottom w:val="single" w:color="auto" w:sz="4" w:space="0"/>
              <w:right w:val="nil"/>
            </w:tcBorders>
            <w:shd w:val="clear" w:color="auto" w:fill="auto"/>
            <w:noWrap/>
            <w:vAlign w:val="bottom"/>
          </w:tcPr>
          <w:p>
            <w:pPr>
              <w:jc w:val="right"/>
              <w:rPr>
                <w:color w:val="000000"/>
                <w:sz w:val="22"/>
                <w:szCs w:val="22"/>
              </w:rPr>
            </w:pPr>
            <w:r>
              <w:rPr>
                <w:color w:val="000000"/>
                <w:sz w:val="22"/>
                <w:szCs w:val="22"/>
              </w:rPr>
              <w:t>8,34</w:t>
            </w:r>
          </w:p>
        </w:tc>
        <w:tc>
          <w:tcPr>
            <w:tcW w:w="959" w:type="dxa"/>
            <w:tcBorders>
              <w:top w:val="single" w:color="auto" w:sz="4" w:space="0"/>
              <w:left w:val="nil"/>
              <w:bottom w:val="single" w:color="auto" w:sz="4" w:space="0"/>
            </w:tcBorders>
            <w:shd w:val="clear" w:color="auto" w:fill="auto"/>
            <w:noWrap/>
            <w:vAlign w:val="bottom"/>
          </w:tcPr>
          <w:p>
            <w:pPr>
              <w:jc w:val="center"/>
              <w:rPr>
                <w:color w:val="000000"/>
                <w:sz w:val="22"/>
                <w:szCs w:val="22"/>
              </w:rPr>
            </w:pPr>
            <w:r>
              <w:rPr>
                <w:color w:val="000000"/>
                <w:sz w:val="22"/>
                <w:szCs w:val="22"/>
              </w:rPr>
              <w:t> </w:t>
            </w:r>
          </w:p>
        </w:tc>
      </w:tr>
    </w:tbl>
    <w:p>
      <w:pPr>
        <w:ind w:left="1701" w:hanging="1134"/>
        <w:jc w:val="both"/>
        <w:rPr>
          <w:szCs w:val="24"/>
        </w:rPr>
      </w:pPr>
      <w:r>
        <w:rPr>
          <w:szCs w:val="24"/>
        </w:rPr>
        <w:t>Keterangan : Angka yang diikuti oleh huruf yang sama pada kolom dan perlakuaan yang sama berbeda sangat nyata pada uji BNT  5%;</w:t>
      </w:r>
    </w:p>
    <w:p>
      <w:pPr>
        <w:ind w:left="1701" w:hanging="1134"/>
        <w:jc w:val="both"/>
        <w:rPr>
          <w:szCs w:val="24"/>
        </w:rPr>
      </w:pPr>
    </w:p>
    <w:p>
      <w:pPr>
        <w:spacing w:line="360" w:lineRule="auto"/>
        <w:ind w:left="567" w:firstLine="709"/>
        <w:jc w:val="both"/>
        <w:rPr>
          <w:rStyle w:val="128"/>
          <w:sz w:val="24"/>
        </w:rPr>
      </w:pPr>
      <w:r>
        <w:rPr>
          <w:rStyle w:val="128"/>
          <w:sz w:val="24"/>
        </w:rPr>
        <w:t>Rerata prosentase bibit jadi dengan menggunakan BNT 5% pada tabel 8 menunjukkan interaksi komposisi media tanam tanah, pupuk dan arang sekam dengan perbandingan (1:1:1) (K2) dengan panjang stek 25 cm (P3) diketahui prosentase bibit jadi tertinggi diantara interaksi yang ada. Kandungan persediaan</w:t>
      </w:r>
      <w:r>
        <w:rPr>
          <w:color w:val="000000"/>
          <w:sz w:val="24"/>
        </w:rPr>
        <w:t xml:space="preserve"> </w:t>
      </w:r>
      <w:r>
        <w:rPr>
          <w:rStyle w:val="128"/>
          <w:sz w:val="24"/>
        </w:rPr>
        <w:t>fotosintat pada sel (karbohidrat) cukup untuk pertumbuhan stek dan dengan komposisi media tanam yang kaya akan unsur hara dan bersifat porous sehingga mendukung kondisi stek untuk tumbuh dan berkembang. Sesuai pernyataan Hartmann dan Kester (2002) bahwa bahan stek yang mengandung</w:t>
      </w:r>
      <w:r>
        <w:rPr>
          <w:color w:val="000000"/>
          <w:sz w:val="24"/>
        </w:rPr>
        <w:t xml:space="preserve"> </w:t>
      </w:r>
      <w:r>
        <w:rPr>
          <w:rStyle w:val="128"/>
          <w:sz w:val="24"/>
        </w:rPr>
        <w:t>karbohidrat tinggi dan nitrogen cukup akan membentuk akar dan tunas.</w:t>
      </w:r>
      <w:r>
        <w:rPr>
          <w:color w:val="000000"/>
          <w:sz w:val="24"/>
        </w:rPr>
        <w:t xml:space="preserve"> </w:t>
      </w:r>
    </w:p>
    <w:p>
      <w:pPr>
        <w:spacing w:line="360" w:lineRule="auto"/>
        <w:rPr>
          <w:bCs/>
          <w:sz w:val="22"/>
          <w:szCs w:val="22"/>
          <w:lang w:val="id-ID"/>
        </w:rPr>
      </w:pPr>
      <w:r>
        <w:rPr>
          <w:sz w:val="22"/>
          <w:szCs w:val="22"/>
          <w:lang w:val="id-ID"/>
        </w:rPr>
        <w:t>.</w:t>
      </w:r>
      <w:r>
        <w:rPr>
          <w:sz w:val="22"/>
          <w:szCs w:val="22"/>
          <w:lang w:val="id-ID"/>
        </w:rPr>
        <w:tab/>
      </w:r>
    </w:p>
    <w:p>
      <w:pPr>
        <w:spacing w:after="120" w:line="360" w:lineRule="auto"/>
        <w:jc w:val="both"/>
        <w:rPr>
          <w:bCs/>
          <w:sz w:val="22"/>
          <w:szCs w:val="22"/>
          <w:lang w:val="id-ID"/>
        </w:rPr>
      </w:pPr>
      <w:r>
        <w:rPr>
          <w:b/>
          <w:color w:val="000000"/>
          <w:sz w:val="22"/>
          <w:szCs w:val="22"/>
        </w:rPr>
        <w:t xml:space="preserve">KESIMPULAN </w:t>
      </w:r>
    </w:p>
    <w:p>
      <w:pPr>
        <w:tabs>
          <w:tab w:val="left" w:pos="567"/>
        </w:tabs>
        <w:spacing w:line="360" w:lineRule="auto"/>
        <w:jc w:val="both"/>
        <w:rPr>
          <w:bCs/>
          <w:sz w:val="22"/>
          <w:szCs w:val="22"/>
          <w:lang w:val="id-ID"/>
        </w:rPr>
      </w:pPr>
      <w:r>
        <w:rPr>
          <w:bCs/>
          <w:sz w:val="22"/>
          <w:szCs w:val="22"/>
          <w:lang w:val="id-ID"/>
        </w:rPr>
        <w:t>Hasil penelitian yang dilakukan dapat disimpulkan  bahwa :</w:t>
      </w:r>
    </w:p>
    <w:p>
      <w:pPr>
        <w:pStyle w:val="38"/>
        <w:numPr>
          <w:ilvl w:val="0"/>
          <w:numId w:val="5"/>
        </w:numPr>
        <w:spacing w:line="360" w:lineRule="auto"/>
        <w:ind w:left="567" w:hanging="425"/>
        <w:jc w:val="both"/>
        <w:rPr>
          <w:sz w:val="22"/>
          <w:szCs w:val="22"/>
          <w:lang w:val="id-ID"/>
        </w:rPr>
      </w:pPr>
      <w:r>
        <w:rPr>
          <w:sz w:val="22"/>
          <w:szCs w:val="22"/>
        </w:rPr>
        <w:t xml:space="preserve">Komposisi media tanam </w:t>
      </w:r>
      <w:r>
        <w:rPr>
          <w:sz w:val="22"/>
          <w:szCs w:val="22"/>
          <w:lang w:val="id-ID"/>
        </w:rPr>
        <w:t xml:space="preserve">berupa </w:t>
      </w:r>
      <w:r>
        <w:rPr>
          <w:sz w:val="22"/>
          <w:szCs w:val="22"/>
        </w:rPr>
        <w:t>campuran tanah, kompos dan arang sekam (K2) berpengaruh terhadap muncul tunas, jumlah tunas, panjang tunas, jumlah daun, jumlah akar, panjang akar dan prosentase stek jadi terhadap pertumbuhan stek tanaman bougenville (</w:t>
      </w:r>
      <w:r>
        <w:rPr>
          <w:i/>
          <w:iCs/>
          <w:sz w:val="22"/>
          <w:szCs w:val="22"/>
        </w:rPr>
        <w:t>Bougainvillea glabra L</w:t>
      </w:r>
      <w:r>
        <w:rPr>
          <w:i/>
          <w:sz w:val="22"/>
          <w:szCs w:val="22"/>
        </w:rPr>
        <w:t>.</w:t>
      </w:r>
      <w:r>
        <w:rPr>
          <w:sz w:val="22"/>
          <w:szCs w:val="22"/>
        </w:rPr>
        <w:t>)</w:t>
      </w:r>
    </w:p>
    <w:p>
      <w:pPr>
        <w:pStyle w:val="38"/>
        <w:widowControl w:val="0"/>
        <w:numPr>
          <w:ilvl w:val="0"/>
          <w:numId w:val="5"/>
        </w:numPr>
        <w:autoSpaceDE w:val="0"/>
        <w:autoSpaceDN w:val="0"/>
        <w:adjustRightInd w:val="0"/>
        <w:spacing w:line="360" w:lineRule="auto"/>
        <w:ind w:left="567" w:hanging="425"/>
        <w:jc w:val="both"/>
        <w:rPr>
          <w:sz w:val="22"/>
          <w:szCs w:val="22"/>
        </w:rPr>
      </w:pPr>
      <w:r>
        <w:rPr>
          <w:sz w:val="22"/>
          <w:szCs w:val="22"/>
        </w:rPr>
        <w:t>Panjang stek bougenville 25 cm (P3) berpengaruh terhadap muncul tunas, jumlah tunas, jumlah daun, jumlah akar, dan panjang akar terhadap pertumbuhan stek tanaman bugenville (</w:t>
      </w:r>
      <w:r>
        <w:rPr>
          <w:i/>
          <w:iCs/>
          <w:sz w:val="22"/>
          <w:szCs w:val="22"/>
        </w:rPr>
        <w:t>Bougainvillea glabra L</w:t>
      </w:r>
      <w:r>
        <w:rPr>
          <w:i/>
          <w:sz w:val="22"/>
          <w:szCs w:val="22"/>
        </w:rPr>
        <w:t>.</w:t>
      </w:r>
      <w:r>
        <w:rPr>
          <w:sz w:val="22"/>
          <w:szCs w:val="22"/>
        </w:rPr>
        <w:t>)</w:t>
      </w:r>
    </w:p>
    <w:p>
      <w:pPr>
        <w:pStyle w:val="38"/>
        <w:numPr>
          <w:ilvl w:val="0"/>
          <w:numId w:val="5"/>
        </w:numPr>
        <w:spacing w:line="360" w:lineRule="auto"/>
        <w:ind w:left="567" w:hanging="425"/>
        <w:jc w:val="both"/>
        <w:rPr>
          <w:sz w:val="22"/>
          <w:szCs w:val="22"/>
          <w:lang w:val="id-ID"/>
        </w:rPr>
      </w:pPr>
      <w:r>
        <w:rPr>
          <w:sz w:val="22"/>
          <w:szCs w:val="22"/>
        </w:rPr>
        <w:t xml:space="preserve">Terdapat Interaksi antara komposisi media tanam </w:t>
      </w:r>
      <w:r>
        <w:rPr>
          <w:sz w:val="22"/>
          <w:szCs w:val="22"/>
          <w:lang w:val="id-ID"/>
        </w:rPr>
        <w:t>berupa</w:t>
      </w:r>
      <w:r>
        <w:rPr>
          <w:sz w:val="22"/>
          <w:szCs w:val="22"/>
        </w:rPr>
        <w:t xml:space="preserve"> tanah, kompos</w:t>
      </w:r>
      <w:r>
        <w:rPr>
          <w:sz w:val="22"/>
          <w:szCs w:val="22"/>
          <w:lang w:val="id-ID"/>
        </w:rPr>
        <w:t>,</w:t>
      </w:r>
      <w:r>
        <w:rPr>
          <w:sz w:val="22"/>
          <w:szCs w:val="22"/>
        </w:rPr>
        <w:t>arang sekam dengan panjang stek 25 cm (K2P3) berpengaruh terhadap muncul tunas, jumlah daun, panjang akar dan prosentase stek jadi terhadap pertumbuhan stek tanaman Bougenville (</w:t>
      </w:r>
      <w:r>
        <w:rPr>
          <w:i/>
          <w:iCs/>
          <w:sz w:val="22"/>
          <w:szCs w:val="22"/>
        </w:rPr>
        <w:t>Bougainvillea glabra L</w:t>
      </w:r>
      <w:r>
        <w:rPr>
          <w:i/>
          <w:sz w:val="22"/>
          <w:szCs w:val="22"/>
        </w:rPr>
        <w:t>.</w:t>
      </w:r>
      <w:r>
        <w:rPr>
          <w:sz w:val="22"/>
          <w:szCs w:val="22"/>
        </w:rPr>
        <w:t>)</w:t>
      </w:r>
    </w:p>
    <w:p>
      <w:pPr>
        <w:tabs>
          <w:tab w:val="left" w:pos="567"/>
        </w:tabs>
        <w:spacing w:line="360" w:lineRule="auto"/>
        <w:jc w:val="both"/>
        <w:rPr>
          <w:sz w:val="22"/>
          <w:szCs w:val="22"/>
          <w:lang w:val="id-ID"/>
        </w:rPr>
      </w:pPr>
    </w:p>
    <w:p>
      <w:pPr>
        <w:widowControl w:val="0"/>
        <w:autoSpaceDE w:val="0"/>
        <w:autoSpaceDN w:val="0"/>
        <w:adjustRightInd w:val="0"/>
        <w:spacing w:line="480" w:lineRule="auto"/>
        <w:jc w:val="both"/>
        <w:rPr>
          <w:b/>
        </w:rPr>
      </w:pPr>
      <w:r>
        <w:rPr>
          <w:b/>
        </w:rPr>
        <w:t>SARAN</w:t>
      </w:r>
    </w:p>
    <w:p>
      <w:pPr>
        <w:tabs>
          <w:tab w:val="left" w:pos="567"/>
        </w:tabs>
        <w:spacing w:line="360" w:lineRule="auto"/>
        <w:jc w:val="both"/>
        <w:rPr>
          <w:sz w:val="22"/>
          <w:szCs w:val="22"/>
          <w:lang w:val="id-ID"/>
        </w:rPr>
      </w:pPr>
      <w:r>
        <w:rPr>
          <w:sz w:val="22"/>
          <w:szCs w:val="22"/>
        </w:rPr>
        <w:t>Keseragaman diameter bahan stek harus diperhatikan</w:t>
      </w:r>
      <w:r>
        <w:rPr>
          <w:sz w:val="22"/>
          <w:szCs w:val="22"/>
          <w:lang w:val="id-ID"/>
        </w:rPr>
        <w:t xml:space="preserve"> untuk mengurangi bias dari bahan stek yang digunakan. Selain itu perlu juga diperhatikan macam media tanam yang digunakan</w:t>
      </w:r>
    </w:p>
    <w:p>
      <w:pPr>
        <w:tabs>
          <w:tab w:val="left" w:pos="567"/>
        </w:tabs>
        <w:spacing w:line="360" w:lineRule="auto"/>
        <w:jc w:val="both"/>
        <w:rPr>
          <w:sz w:val="22"/>
          <w:szCs w:val="22"/>
          <w:lang w:val="id-ID"/>
        </w:rPr>
      </w:pPr>
    </w:p>
    <w:p>
      <w:pPr>
        <w:tabs>
          <w:tab w:val="left" w:pos="567"/>
        </w:tabs>
        <w:spacing w:line="360" w:lineRule="auto"/>
        <w:jc w:val="both"/>
        <w:rPr>
          <w:bCs/>
          <w:sz w:val="22"/>
          <w:szCs w:val="22"/>
          <w:lang w:val="id-ID"/>
        </w:rPr>
      </w:pPr>
      <w:r>
        <w:rPr>
          <w:sz w:val="22"/>
          <w:szCs w:val="22"/>
          <w:lang w:val="id-ID"/>
        </w:rPr>
        <w:tab/>
      </w:r>
    </w:p>
    <w:p>
      <w:pPr>
        <w:spacing w:after="120"/>
        <w:ind w:left="1350" w:right="1106"/>
        <w:jc w:val="center"/>
        <w:rPr>
          <w:b/>
        </w:rPr>
      </w:pPr>
      <w:r>
        <w:rPr>
          <w:b/>
          <w:sz w:val="22"/>
          <w:szCs w:val="22"/>
        </w:rPr>
        <w:t>DAFTAR PUSTAKA</w:t>
      </w:r>
      <w:r>
        <w:rPr>
          <w:b/>
        </w:rPr>
        <w:t xml:space="preserve"> </w:t>
      </w:r>
      <w:bookmarkEnd w:id="0"/>
    </w:p>
    <w:p>
      <w:pPr>
        <w:spacing w:after="120"/>
        <w:ind w:left="1350" w:right="1106"/>
        <w:jc w:val="center"/>
        <w:rPr>
          <w:b/>
        </w:rPr>
      </w:pPr>
    </w:p>
    <w:p>
      <w:pPr>
        <w:ind w:left="709" w:hanging="709"/>
        <w:jc w:val="both"/>
        <w:rPr>
          <w:sz w:val="22"/>
          <w:szCs w:val="22"/>
        </w:rPr>
      </w:pPr>
      <w:r>
        <w:rPr>
          <w:color w:val="222222"/>
          <w:sz w:val="22"/>
          <w:szCs w:val="22"/>
          <w:shd w:val="clear" w:color="auto" w:fill="FFFFFF"/>
        </w:rPr>
        <w:t xml:space="preserve">A Sparta, M Andini, T Rahman. 2012. </w:t>
      </w:r>
      <w:r>
        <w:rPr>
          <w:sz w:val="22"/>
          <w:szCs w:val="22"/>
        </w:rPr>
        <w:t>Pengaruh Berbagai Pnjang Stek Terhadap Pertumbuhan Bibit Buah Naga (</w:t>
      </w:r>
      <w:r>
        <w:rPr>
          <w:sz w:val="22"/>
          <w:szCs w:val="22"/>
          <w:u w:val="single"/>
        </w:rPr>
        <w:t>Hylocereous</w:t>
      </w:r>
      <w:r>
        <w:rPr>
          <w:sz w:val="22"/>
          <w:szCs w:val="22"/>
        </w:rPr>
        <w:t xml:space="preserve"> </w:t>
      </w:r>
      <w:r>
        <w:rPr>
          <w:sz w:val="22"/>
          <w:szCs w:val="22"/>
          <w:u w:val="single"/>
        </w:rPr>
        <w:t>polyryzus</w:t>
      </w:r>
      <w:r>
        <w:rPr>
          <w:sz w:val="22"/>
          <w:szCs w:val="22"/>
        </w:rPr>
        <w:t xml:space="preserve">). Diperoleh tanggal 30 Nopember 2024 dari. </w:t>
      </w:r>
      <w:r>
        <w:fldChar w:fldCharType="begin"/>
      </w:r>
      <w:r>
        <w:instrText xml:space="preserve"> HYPERLINK "https://scholar.google.co.id/citations?view_op=view_citation&amp;hl=en&amp;user=NQhtjuQAAAAJ&amp;citation_for_view=NQhtjuQAAAAJ:d1gkVwhDpl0C" </w:instrText>
      </w:r>
      <w:r>
        <w:fldChar w:fldCharType="separate"/>
      </w:r>
      <w:r>
        <w:rPr>
          <w:rStyle w:val="29"/>
          <w:sz w:val="22"/>
          <w:szCs w:val="22"/>
        </w:rPr>
        <w:t>https://scholar.google.co.id/citations?view_op=view_citation&amp;hl=en&amp;user=NQhtjuQAAAAJ&amp;citation_for_view=NQhtjuQAAAAJ:d1gkVwhDpl0C</w:t>
      </w:r>
      <w:r>
        <w:rPr>
          <w:rStyle w:val="29"/>
          <w:sz w:val="22"/>
          <w:szCs w:val="22"/>
        </w:rPr>
        <w:fldChar w:fldCharType="end"/>
      </w:r>
      <w:r>
        <w:rPr>
          <w:sz w:val="22"/>
          <w:szCs w:val="22"/>
        </w:rPr>
        <w:t xml:space="preserve">  </w:t>
      </w:r>
    </w:p>
    <w:p>
      <w:pPr>
        <w:ind w:left="709" w:hanging="709"/>
        <w:jc w:val="both"/>
        <w:rPr>
          <w:sz w:val="22"/>
          <w:szCs w:val="22"/>
        </w:rPr>
      </w:pPr>
    </w:p>
    <w:p>
      <w:pPr>
        <w:pStyle w:val="31"/>
        <w:spacing w:before="0" w:beforeAutospacing="0" w:after="0" w:afterAutospacing="0"/>
        <w:ind w:left="709" w:hanging="709"/>
        <w:jc w:val="both"/>
        <w:rPr>
          <w:sz w:val="22"/>
          <w:szCs w:val="22"/>
        </w:rPr>
      </w:pPr>
      <w:r>
        <w:rPr>
          <w:sz w:val="22"/>
          <w:szCs w:val="22"/>
        </w:rPr>
        <w:t>Andriana Hesti Kusuma, Munifatul Izzati, Endang Saptiningsih. 2013. Pengaruh Penambahan Arang dan Abu Sekam dengan Proporsi yang Berbeda terhadap Permeabilitas dan Porositas Tanah Liat serta Pertumbuhan Kacang Hijau (</w:t>
      </w:r>
      <w:r>
        <w:rPr>
          <w:i/>
          <w:sz w:val="22"/>
          <w:szCs w:val="22"/>
        </w:rPr>
        <w:t>Vigna radiata</w:t>
      </w:r>
      <w:r>
        <w:rPr>
          <w:sz w:val="22"/>
          <w:szCs w:val="22"/>
        </w:rPr>
        <w:t xml:space="preserve"> L). diperoleh tanggal 14 Nopember 2024 dari </w:t>
      </w:r>
      <w:r>
        <w:fldChar w:fldCharType="begin"/>
      </w:r>
      <w:r>
        <w:instrText xml:space="preserve"> HYPERLINK "http://eprints.undip.ac.id/42549/1/aan.pdf" </w:instrText>
      </w:r>
      <w:r>
        <w:fldChar w:fldCharType="separate"/>
      </w:r>
      <w:r>
        <w:rPr>
          <w:rStyle w:val="29"/>
          <w:sz w:val="22"/>
          <w:szCs w:val="22"/>
        </w:rPr>
        <w:t>http://eprints.undip.ac.id/42549/1/aan.pdf</w:t>
      </w:r>
      <w:r>
        <w:rPr>
          <w:rStyle w:val="29"/>
          <w:sz w:val="22"/>
          <w:szCs w:val="22"/>
        </w:rPr>
        <w:fldChar w:fldCharType="end"/>
      </w:r>
      <w:r>
        <w:rPr>
          <w:sz w:val="22"/>
          <w:szCs w:val="22"/>
        </w:rPr>
        <w:t xml:space="preserve"> </w:t>
      </w:r>
    </w:p>
    <w:p>
      <w:pPr>
        <w:ind w:left="709" w:hanging="709"/>
        <w:jc w:val="both"/>
        <w:rPr>
          <w:sz w:val="22"/>
          <w:szCs w:val="22"/>
        </w:rPr>
      </w:pPr>
    </w:p>
    <w:p>
      <w:pPr>
        <w:ind w:left="709" w:hanging="709"/>
        <w:jc w:val="both"/>
        <w:rPr>
          <w:sz w:val="22"/>
          <w:szCs w:val="22"/>
        </w:rPr>
      </w:pPr>
    </w:p>
    <w:p>
      <w:pPr>
        <w:tabs>
          <w:tab w:val="left" w:pos="567"/>
        </w:tabs>
        <w:spacing w:line="360" w:lineRule="auto"/>
        <w:jc w:val="both"/>
        <w:rPr>
          <w:bCs/>
          <w:sz w:val="22"/>
          <w:szCs w:val="22"/>
        </w:rPr>
      </w:pPr>
    </w:p>
    <w:p>
      <w:pPr>
        <w:tabs>
          <w:tab w:val="left" w:pos="567"/>
        </w:tabs>
        <w:ind w:left="851" w:hanging="851"/>
        <w:jc w:val="both"/>
        <w:rPr>
          <w:sz w:val="22"/>
          <w:szCs w:val="22"/>
          <w:lang w:val="id-ID"/>
        </w:rPr>
      </w:pPr>
      <w:r>
        <w:rPr>
          <w:sz w:val="22"/>
          <w:szCs w:val="22"/>
          <w:lang w:val="id-ID"/>
        </w:rPr>
        <w:t xml:space="preserve"> BMKG, 2021. Peta Rerata Curah Hujan Dan Hari Hujan Periode 1991 – 2020</w:t>
      </w:r>
      <w:r>
        <w:rPr>
          <w:sz w:val="22"/>
          <w:szCs w:val="22"/>
        </w:rPr>
        <w:t xml:space="preserve"> diperoleh tanggal 2 Nopember 2024 dari </w:t>
      </w:r>
      <w:r>
        <w:rPr>
          <w:sz w:val="22"/>
          <w:szCs w:val="22"/>
          <w:lang w:val="id-ID"/>
        </w:rPr>
        <w:t xml:space="preserve"> </w:t>
      </w:r>
      <w:r>
        <w:fldChar w:fldCharType="begin"/>
      </w:r>
      <w:r>
        <w:instrText xml:space="preserve"> HYPERLINK "https://iklim.bmkg.go.id/bmkgadmin/storage/buletin/20220511_BukuNormal_Lengkap_FormatBuku.pdf" </w:instrText>
      </w:r>
      <w:r>
        <w:fldChar w:fldCharType="separate"/>
      </w:r>
      <w:r>
        <w:rPr>
          <w:rStyle w:val="29"/>
          <w:sz w:val="22"/>
          <w:szCs w:val="22"/>
        </w:rPr>
        <w:t>https://iklim.bmkg.go.id/bmkgadmin/storage/buletin/20220511_BukuNormal_Lengkap_FormatBuku.pdf</w:t>
      </w:r>
      <w:r>
        <w:rPr>
          <w:rStyle w:val="29"/>
          <w:sz w:val="22"/>
          <w:szCs w:val="22"/>
        </w:rPr>
        <w:fldChar w:fldCharType="end"/>
      </w:r>
      <w:r>
        <w:rPr>
          <w:sz w:val="22"/>
          <w:szCs w:val="22"/>
          <w:lang w:val="id-ID"/>
        </w:rPr>
        <w:t xml:space="preserve"> </w:t>
      </w:r>
    </w:p>
    <w:p>
      <w:pPr>
        <w:tabs>
          <w:tab w:val="left" w:pos="567"/>
        </w:tabs>
        <w:ind w:left="851" w:hanging="851"/>
        <w:jc w:val="both"/>
        <w:rPr>
          <w:sz w:val="22"/>
          <w:szCs w:val="22"/>
          <w:lang w:val="id-ID"/>
        </w:rPr>
      </w:pPr>
    </w:p>
    <w:p>
      <w:pPr>
        <w:widowControl w:val="0"/>
        <w:tabs>
          <w:tab w:val="left" w:pos="1134"/>
        </w:tabs>
        <w:autoSpaceDE w:val="0"/>
        <w:autoSpaceDN w:val="0"/>
        <w:adjustRightInd w:val="0"/>
        <w:ind w:left="851" w:hanging="851"/>
        <w:jc w:val="both"/>
        <w:rPr>
          <w:sz w:val="22"/>
          <w:szCs w:val="22"/>
        </w:rPr>
      </w:pPr>
      <w:r>
        <w:rPr>
          <w:sz w:val="22"/>
          <w:szCs w:val="22"/>
        </w:rPr>
        <w:t>Danu, A. Subiakto, dan K. P. Putri. 2011. Uji stek</w:t>
      </w:r>
      <w:r>
        <w:rPr>
          <w:sz w:val="22"/>
          <w:szCs w:val="22"/>
          <w:lang w:val="id-ID"/>
        </w:rPr>
        <w:t xml:space="preserve"> </w:t>
      </w:r>
      <w:r>
        <w:rPr>
          <w:sz w:val="22"/>
          <w:szCs w:val="22"/>
        </w:rPr>
        <w:t>Damar (</w:t>
      </w:r>
      <w:r>
        <w:rPr>
          <w:i/>
          <w:sz w:val="22"/>
          <w:szCs w:val="22"/>
        </w:rPr>
        <w:t>Agathis loranthifolia</w:t>
      </w:r>
      <w:r>
        <w:rPr>
          <w:sz w:val="22"/>
          <w:szCs w:val="22"/>
        </w:rPr>
        <w:t>) pada berbagai</w:t>
      </w:r>
      <w:r>
        <w:rPr>
          <w:sz w:val="22"/>
          <w:szCs w:val="22"/>
          <w:lang w:val="id-ID"/>
        </w:rPr>
        <w:t xml:space="preserve"> </w:t>
      </w:r>
      <w:r>
        <w:rPr>
          <w:sz w:val="22"/>
          <w:szCs w:val="22"/>
        </w:rPr>
        <w:t>media dan zat pengatur tumbuh. J. Penelitian</w:t>
      </w:r>
      <w:r>
        <w:rPr>
          <w:sz w:val="22"/>
          <w:szCs w:val="22"/>
          <w:lang w:val="id-ID"/>
        </w:rPr>
        <w:t xml:space="preserve"> </w:t>
      </w:r>
      <w:r>
        <w:rPr>
          <w:sz w:val="22"/>
          <w:szCs w:val="22"/>
        </w:rPr>
        <w:t>Hutan dan Konservasi Alam, 8 (3) : 245 –252.</w:t>
      </w:r>
    </w:p>
    <w:p>
      <w:pPr>
        <w:widowControl w:val="0"/>
        <w:tabs>
          <w:tab w:val="left" w:pos="1134"/>
        </w:tabs>
        <w:autoSpaceDE w:val="0"/>
        <w:autoSpaceDN w:val="0"/>
        <w:adjustRightInd w:val="0"/>
        <w:ind w:left="851" w:hanging="851"/>
        <w:jc w:val="both"/>
        <w:rPr>
          <w:sz w:val="22"/>
          <w:szCs w:val="22"/>
        </w:rPr>
      </w:pPr>
    </w:p>
    <w:p>
      <w:pPr>
        <w:rPr>
          <w:sz w:val="22"/>
          <w:szCs w:val="22"/>
        </w:rPr>
      </w:pPr>
      <w:r>
        <w:rPr>
          <w:sz w:val="22"/>
          <w:szCs w:val="22"/>
        </w:rPr>
        <w:t>Durner, E.F .2013. Principles Of Horticultural physiology. Guttenberg press. Ltd</w:t>
      </w:r>
    </w:p>
    <w:p>
      <w:pPr>
        <w:rPr>
          <w:sz w:val="22"/>
          <w:szCs w:val="22"/>
        </w:rPr>
      </w:pPr>
    </w:p>
    <w:p>
      <w:pPr>
        <w:ind w:left="709" w:hanging="709"/>
        <w:jc w:val="both"/>
        <w:rPr>
          <w:sz w:val="22"/>
          <w:szCs w:val="22"/>
        </w:rPr>
      </w:pPr>
      <w:r>
        <w:rPr>
          <w:sz w:val="22"/>
          <w:szCs w:val="22"/>
        </w:rPr>
        <w:t>Fridia Arintya Ayuningtyas dan Sitawati .2019. Pengaruh Root Grow Rootone F dan panjang stek Terhadap Efisiensi Penggunaan Bahan Stek Tanaman Firesoike (Odotonema Stirctum) Jurnal Produksi Tanaman Vol. 7 No. 11 Nopember 2019, ISSN 2527-8452</w:t>
      </w:r>
    </w:p>
    <w:p>
      <w:pPr>
        <w:ind w:left="709" w:hanging="709"/>
        <w:jc w:val="both"/>
        <w:rPr>
          <w:sz w:val="22"/>
          <w:szCs w:val="22"/>
        </w:rPr>
      </w:pPr>
    </w:p>
    <w:p>
      <w:pPr>
        <w:pStyle w:val="82"/>
        <w:ind w:left="567" w:hanging="567"/>
        <w:jc w:val="both"/>
        <w:rPr>
          <w:rFonts w:eastAsiaTheme="minorHAnsi"/>
          <w:sz w:val="22"/>
          <w:szCs w:val="22"/>
          <w:lang w:eastAsia="id-ID"/>
        </w:rPr>
      </w:pPr>
      <w:r>
        <w:rPr>
          <w:sz w:val="22"/>
          <w:szCs w:val="22"/>
        </w:rPr>
        <w:t xml:space="preserve">Fandi Ahmad, 2020. </w:t>
      </w:r>
      <w:r>
        <w:rPr>
          <w:rFonts w:eastAsiaTheme="minorHAnsi"/>
          <w:bCs/>
          <w:sz w:val="22"/>
          <w:szCs w:val="22"/>
          <w:lang w:eastAsia="id-ID"/>
        </w:rPr>
        <w:t>Pengaruh Panjang Stek Terhadap Pertumbuhan Dan Hasil Tanaman Ubi Jalar</w:t>
      </w:r>
      <w:r>
        <w:rPr>
          <w:rFonts w:eastAsiaTheme="minorHAnsi"/>
          <w:b/>
          <w:bCs/>
          <w:sz w:val="22"/>
          <w:szCs w:val="22"/>
          <w:lang w:eastAsia="id-ID"/>
        </w:rPr>
        <w:t xml:space="preserve"> (</w:t>
      </w:r>
      <w:r>
        <w:rPr>
          <w:rFonts w:eastAsiaTheme="minorHAnsi"/>
          <w:b/>
          <w:bCs/>
          <w:i/>
          <w:iCs/>
          <w:sz w:val="22"/>
          <w:szCs w:val="22"/>
          <w:lang w:eastAsia="id-ID"/>
        </w:rPr>
        <w:t xml:space="preserve">Ipomoea batatas </w:t>
      </w:r>
      <w:r>
        <w:rPr>
          <w:rFonts w:eastAsiaTheme="minorHAnsi"/>
          <w:b/>
          <w:bCs/>
          <w:sz w:val="22"/>
          <w:szCs w:val="22"/>
          <w:lang w:eastAsia="id-ID"/>
        </w:rPr>
        <w:t xml:space="preserve">L.), </w:t>
      </w:r>
      <w:r>
        <w:rPr>
          <w:rFonts w:eastAsiaTheme="minorHAnsi"/>
          <w:sz w:val="22"/>
          <w:szCs w:val="22"/>
          <w:lang w:eastAsia="id-ID"/>
        </w:rPr>
        <w:t xml:space="preserve"> Jurnal Ilmiah Cendekia Eksakta, hal 67 -71</w:t>
      </w:r>
    </w:p>
    <w:p>
      <w:pPr>
        <w:pStyle w:val="82"/>
        <w:rPr>
          <w:rFonts w:eastAsiaTheme="minorHAnsi"/>
          <w:sz w:val="22"/>
          <w:szCs w:val="22"/>
          <w:lang w:eastAsia="id-ID"/>
        </w:rPr>
      </w:pPr>
    </w:p>
    <w:p>
      <w:pPr>
        <w:pStyle w:val="31"/>
        <w:spacing w:before="0" w:beforeAutospacing="0" w:after="0" w:afterAutospacing="0"/>
        <w:ind w:left="709" w:hanging="709"/>
        <w:jc w:val="both"/>
        <w:rPr>
          <w:rStyle w:val="128"/>
        </w:rPr>
      </w:pPr>
      <w:r>
        <w:rPr>
          <w:rStyle w:val="128"/>
        </w:rPr>
        <w:t>Hartmaan, H. T and D.E Kester, 2002. Plant Propagation : Principle and Practices. 7 th edition. Prentice Hall. Inc. p : 170 p</w:t>
      </w:r>
    </w:p>
    <w:p>
      <w:pPr>
        <w:pStyle w:val="31"/>
        <w:spacing w:before="0" w:beforeAutospacing="0" w:after="0" w:afterAutospacing="0"/>
        <w:ind w:left="709" w:hanging="709"/>
        <w:jc w:val="both"/>
        <w:rPr>
          <w:rStyle w:val="128"/>
        </w:rPr>
      </w:pPr>
    </w:p>
    <w:p>
      <w:pPr>
        <w:pStyle w:val="31"/>
        <w:spacing w:before="0" w:beforeAutospacing="0" w:after="0" w:afterAutospacing="0"/>
        <w:ind w:left="709" w:hanging="709"/>
        <w:jc w:val="both"/>
        <w:rPr>
          <w:sz w:val="22"/>
          <w:szCs w:val="22"/>
        </w:rPr>
      </w:pPr>
      <w:r>
        <w:rPr>
          <w:sz w:val="22"/>
          <w:szCs w:val="22"/>
        </w:rPr>
        <w:t>Indranada, H.K. 1994. Pengelolaan Kesuburan Tanah. Semarang : Bumi Aksara. 99 Halaman</w:t>
      </w:r>
    </w:p>
    <w:p>
      <w:pPr>
        <w:pStyle w:val="31"/>
        <w:spacing w:before="0" w:beforeAutospacing="0" w:after="0" w:afterAutospacing="0"/>
        <w:ind w:left="709" w:hanging="709"/>
        <w:jc w:val="both"/>
        <w:rPr>
          <w:rStyle w:val="128"/>
        </w:rPr>
      </w:pPr>
    </w:p>
    <w:p>
      <w:pPr>
        <w:widowControl w:val="0"/>
        <w:tabs>
          <w:tab w:val="left" w:pos="1134"/>
        </w:tabs>
        <w:autoSpaceDE w:val="0"/>
        <w:autoSpaceDN w:val="0"/>
        <w:adjustRightInd w:val="0"/>
        <w:ind w:left="851" w:hanging="851"/>
        <w:jc w:val="both"/>
        <w:rPr>
          <w:sz w:val="22"/>
          <w:szCs w:val="22"/>
        </w:rPr>
      </w:pPr>
    </w:p>
    <w:p>
      <w:pPr>
        <w:widowControl w:val="0"/>
        <w:tabs>
          <w:tab w:val="left" w:pos="1134"/>
        </w:tabs>
        <w:autoSpaceDE w:val="0"/>
        <w:autoSpaceDN w:val="0"/>
        <w:adjustRightInd w:val="0"/>
        <w:ind w:left="851" w:hanging="851"/>
        <w:jc w:val="both"/>
        <w:rPr>
          <w:sz w:val="22"/>
          <w:szCs w:val="22"/>
        </w:rPr>
      </w:pPr>
      <w:r>
        <w:rPr>
          <w:sz w:val="22"/>
          <w:szCs w:val="22"/>
        </w:rPr>
        <w:t>Mahfudz, Isnaini, dan H. Moko. 2006. Pengaruh</w:t>
      </w:r>
      <w:r>
        <w:rPr>
          <w:sz w:val="22"/>
          <w:szCs w:val="22"/>
          <w:lang w:val="id-ID"/>
        </w:rPr>
        <w:t xml:space="preserve"> </w:t>
      </w:r>
      <w:r>
        <w:rPr>
          <w:sz w:val="22"/>
          <w:szCs w:val="22"/>
        </w:rPr>
        <w:t>zat pengatur tumbuh dan media tanam</w:t>
      </w:r>
      <w:r>
        <w:rPr>
          <w:sz w:val="22"/>
          <w:szCs w:val="22"/>
          <w:lang w:val="id-ID"/>
        </w:rPr>
        <w:t xml:space="preserve"> </w:t>
      </w:r>
      <w:r>
        <w:rPr>
          <w:sz w:val="22"/>
          <w:szCs w:val="22"/>
        </w:rPr>
        <w:t>terhadap pertumbuhan stek merbau. Jurnal</w:t>
      </w:r>
      <w:r>
        <w:rPr>
          <w:sz w:val="22"/>
          <w:szCs w:val="22"/>
          <w:lang w:val="id-ID"/>
        </w:rPr>
        <w:t xml:space="preserve"> </w:t>
      </w:r>
      <w:r>
        <w:rPr>
          <w:sz w:val="22"/>
          <w:szCs w:val="22"/>
        </w:rPr>
        <w:t>penelitian hutan tanaman, 3(1) : 25 – 34</w:t>
      </w:r>
    </w:p>
    <w:p>
      <w:pPr>
        <w:tabs>
          <w:tab w:val="left" w:pos="567"/>
        </w:tabs>
        <w:ind w:left="851" w:hanging="851"/>
        <w:jc w:val="both"/>
        <w:rPr>
          <w:sz w:val="22"/>
          <w:szCs w:val="22"/>
          <w:lang w:val="id-ID"/>
        </w:rPr>
      </w:pPr>
    </w:p>
    <w:p>
      <w:pPr>
        <w:ind w:left="709" w:hanging="709"/>
        <w:jc w:val="both"/>
        <w:rPr>
          <w:sz w:val="22"/>
          <w:szCs w:val="22"/>
        </w:rPr>
      </w:pPr>
      <w:r>
        <w:rPr>
          <w:sz w:val="22"/>
          <w:szCs w:val="22"/>
        </w:rPr>
        <w:t>Moko H. 2004. Teknik Perbanyakan Tanaman Hutan Secara Vegetative. Informasi Teknis 2(1): 1 - 20.</w:t>
      </w:r>
    </w:p>
    <w:p>
      <w:pPr>
        <w:pStyle w:val="31"/>
        <w:spacing w:before="0" w:beforeAutospacing="0" w:after="0" w:afterAutospacing="0"/>
        <w:ind w:left="709" w:hanging="709"/>
        <w:jc w:val="both"/>
        <w:rPr>
          <w:sz w:val="22"/>
          <w:szCs w:val="22"/>
        </w:rPr>
      </w:pPr>
    </w:p>
    <w:p>
      <w:pPr>
        <w:ind w:left="709" w:hanging="709"/>
        <w:jc w:val="both"/>
        <w:rPr>
          <w:sz w:val="22"/>
          <w:szCs w:val="22"/>
        </w:rPr>
      </w:pPr>
      <w:r>
        <w:rPr>
          <w:sz w:val="22"/>
          <w:szCs w:val="22"/>
        </w:rPr>
        <w:t xml:space="preserve">Pranoto, C. 1986. Pengaruh Pemberiaan IBA dan Campuran IBA-NAA Terhadap Keberhasilan Stek Cemara Kipas (Thuja orientalis L.. Laporan Karya Ilmiah. Fakultas Pertanian. Institut Pertanian Bogor. Diperoleh tanggal 16 Nopember 2024 dari  </w:t>
      </w:r>
      <w:r>
        <w:fldChar w:fldCharType="begin"/>
      </w:r>
      <w:r>
        <w:instrText xml:space="preserve"> HYPERLINK "https://repository.ipb.ac.id/handle/123456789/39299" </w:instrText>
      </w:r>
      <w:r>
        <w:fldChar w:fldCharType="separate"/>
      </w:r>
      <w:r>
        <w:rPr>
          <w:rStyle w:val="29"/>
          <w:sz w:val="22"/>
          <w:szCs w:val="22"/>
        </w:rPr>
        <w:t>https://repository.ipb.ac.id/handle/123456789/39299</w:t>
      </w:r>
      <w:r>
        <w:rPr>
          <w:rStyle w:val="29"/>
          <w:sz w:val="22"/>
          <w:szCs w:val="22"/>
        </w:rPr>
        <w:fldChar w:fldCharType="end"/>
      </w:r>
      <w:r>
        <w:rPr>
          <w:sz w:val="22"/>
          <w:szCs w:val="22"/>
        </w:rPr>
        <w:t xml:space="preserve">  </w:t>
      </w:r>
    </w:p>
    <w:p>
      <w:pPr>
        <w:tabs>
          <w:tab w:val="left" w:pos="567"/>
        </w:tabs>
        <w:ind w:left="851" w:hanging="851"/>
        <w:jc w:val="both"/>
        <w:rPr>
          <w:sz w:val="22"/>
          <w:szCs w:val="22"/>
          <w:lang w:val="id-ID"/>
        </w:rPr>
      </w:pPr>
    </w:p>
    <w:p>
      <w:pPr>
        <w:ind w:left="709" w:hanging="709"/>
        <w:rPr>
          <w:sz w:val="22"/>
          <w:szCs w:val="22"/>
        </w:rPr>
      </w:pPr>
      <w:r>
        <w:rPr>
          <w:bCs/>
          <w:sz w:val="22"/>
          <w:szCs w:val="22"/>
          <w:lang w:val="fi-FI"/>
        </w:rPr>
        <w:t>Supriyanto</w:t>
      </w:r>
      <w:r>
        <w:rPr>
          <w:bCs/>
          <w:sz w:val="22"/>
          <w:szCs w:val="22"/>
        </w:rPr>
        <w:t xml:space="preserve"> dan </w:t>
      </w:r>
      <w:r>
        <w:rPr>
          <w:bCs/>
          <w:sz w:val="22"/>
          <w:szCs w:val="22"/>
          <w:lang w:val="fi-FI"/>
        </w:rPr>
        <w:t>Fidryaningsih Fiona</w:t>
      </w:r>
      <w:r>
        <w:rPr>
          <w:bCs/>
          <w:sz w:val="22"/>
          <w:szCs w:val="22"/>
        </w:rPr>
        <w:t>. 2010. “</w:t>
      </w:r>
      <w:r>
        <w:rPr>
          <w:sz w:val="22"/>
          <w:szCs w:val="22"/>
          <w:lang w:val="nb-NO"/>
        </w:rPr>
        <w:t xml:space="preserve">Pemanfaatan </w:t>
      </w:r>
      <w:r>
        <w:rPr>
          <w:sz w:val="22"/>
          <w:szCs w:val="22"/>
          <w:lang w:val="fi-FI"/>
        </w:rPr>
        <w:t xml:space="preserve">Arang Sekam untuk Memperbaiki </w:t>
      </w:r>
      <w:r>
        <w:rPr>
          <w:sz w:val="22"/>
          <w:szCs w:val="22"/>
          <w:lang w:val="nb-NO"/>
        </w:rPr>
        <w:t>Pertumbuhan Semai</w:t>
      </w:r>
      <w:r>
        <w:rPr>
          <w:sz w:val="22"/>
          <w:szCs w:val="22"/>
        </w:rPr>
        <w:t xml:space="preserve"> </w:t>
      </w:r>
      <w:r>
        <w:rPr>
          <w:sz w:val="22"/>
          <w:szCs w:val="22"/>
          <w:lang w:val="nb-NO"/>
        </w:rPr>
        <w:t>Jabon</w:t>
      </w:r>
      <w:r>
        <w:rPr>
          <w:bCs/>
          <w:sz w:val="22"/>
          <w:szCs w:val="22"/>
        </w:rPr>
        <w:t xml:space="preserve"> </w:t>
      </w:r>
      <w:r>
        <w:rPr>
          <w:bCs/>
          <w:sz w:val="22"/>
          <w:szCs w:val="22"/>
          <w:lang w:val="fi-FI"/>
        </w:rPr>
        <w:t>(</w:t>
      </w:r>
      <w:r>
        <w:rPr>
          <w:bCs/>
          <w:i/>
          <w:sz w:val="22"/>
          <w:szCs w:val="22"/>
          <w:lang w:val="fi-FI"/>
        </w:rPr>
        <w:t>Anthocephalus cadamba</w:t>
      </w:r>
      <w:r>
        <w:rPr>
          <w:bCs/>
          <w:sz w:val="22"/>
          <w:szCs w:val="22"/>
          <w:lang w:val="fi-FI"/>
        </w:rPr>
        <w:t xml:space="preserve"> (Roxb.) Miq)</w:t>
      </w:r>
      <w:r>
        <w:rPr>
          <w:sz w:val="22"/>
          <w:szCs w:val="22"/>
          <w:lang w:val="fi-FI"/>
        </w:rPr>
        <w:t xml:space="preserve"> pada</w:t>
      </w:r>
      <w:r>
        <w:rPr>
          <w:sz w:val="22"/>
          <w:szCs w:val="22"/>
        </w:rPr>
        <w:t xml:space="preserve"> </w:t>
      </w:r>
      <w:r>
        <w:rPr>
          <w:sz w:val="22"/>
          <w:szCs w:val="22"/>
          <w:lang w:val="fi-FI"/>
        </w:rPr>
        <w:t xml:space="preserve">Media </w:t>
      </w:r>
      <w:r>
        <w:rPr>
          <w:i/>
          <w:sz w:val="22"/>
          <w:szCs w:val="22"/>
          <w:lang w:val="fi-FI"/>
        </w:rPr>
        <w:t>Subsoil</w:t>
      </w:r>
      <w:r>
        <w:rPr>
          <w:sz w:val="22"/>
          <w:szCs w:val="22"/>
        </w:rPr>
        <w:t xml:space="preserve">”. JURNAL SILVIKULTUR TROPIKA. Vol. 01 No. 01 Desember 2010, Hal. 24 – 28 ISSN: </w:t>
      </w:r>
      <w:r>
        <w:rPr>
          <w:bCs/>
          <w:sz w:val="22"/>
          <w:szCs w:val="22"/>
        </w:rPr>
        <w:t>2086-8227</w:t>
      </w:r>
      <w:r>
        <w:rPr>
          <w:sz w:val="22"/>
          <w:szCs w:val="22"/>
        </w:rPr>
        <w:t xml:space="preserve"> </w:t>
      </w:r>
    </w:p>
    <w:p>
      <w:pPr>
        <w:ind w:left="709" w:hanging="709"/>
        <w:rPr>
          <w:sz w:val="22"/>
          <w:szCs w:val="22"/>
        </w:rPr>
      </w:pPr>
    </w:p>
    <w:p>
      <w:pPr>
        <w:ind w:left="709" w:hanging="709"/>
        <w:jc w:val="both"/>
        <w:rPr>
          <w:sz w:val="22"/>
          <w:szCs w:val="22"/>
        </w:rPr>
      </w:pPr>
      <w:r>
        <w:rPr>
          <w:sz w:val="22"/>
          <w:szCs w:val="22"/>
        </w:rPr>
        <w:t xml:space="preserve">Tohari, Libria Widiastut , Endang Sulistyaningsih, 2004. Pengaruh Intensitas Cahaya Dan Kadar Daminosida Terhadap Iklim Mikro Dan Pertumbuhan Tanaman Krisan Dalam Pot. Ilmu Pertanian Vol. 11 No. 2, 2004 : 35-42. Diperoleh tanggal 25 Nopember 2024 dari  </w:t>
      </w:r>
      <w:r>
        <w:fldChar w:fldCharType="begin"/>
      </w:r>
      <w:r>
        <w:instrText xml:space="preserve"> HYPERLINK "https://agrisci.ugm.ac.id/vol11_2/no4_krisan.pdf" </w:instrText>
      </w:r>
      <w:r>
        <w:fldChar w:fldCharType="separate"/>
      </w:r>
      <w:r>
        <w:rPr>
          <w:rStyle w:val="29"/>
          <w:sz w:val="22"/>
          <w:szCs w:val="22"/>
        </w:rPr>
        <w:t>https://agrisci.ugm.ac.id/vol11_2/no4_krisan.pdf</w:t>
      </w:r>
      <w:r>
        <w:rPr>
          <w:rStyle w:val="29"/>
          <w:sz w:val="22"/>
          <w:szCs w:val="22"/>
        </w:rPr>
        <w:fldChar w:fldCharType="end"/>
      </w:r>
      <w:r>
        <w:rPr>
          <w:sz w:val="22"/>
          <w:szCs w:val="22"/>
        </w:rPr>
        <w:t xml:space="preserve"> </w:t>
      </w:r>
    </w:p>
    <w:p>
      <w:pPr>
        <w:ind w:left="709" w:hanging="709"/>
        <w:rPr>
          <w:bCs/>
          <w:sz w:val="22"/>
          <w:szCs w:val="22"/>
        </w:rPr>
      </w:pPr>
    </w:p>
    <w:p>
      <w:pPr>
        <w:ind w:left="709" w:hanging="709"/>
        <w:jc w:val="both"/>
        <w:rPr>
          <w:sz w:val="22"/>
          <w:szCs w:val="22"/>
        </w:rPr>
      </w:pPr>
      <w:r>
        <w:rPr>
          <w:sz w:val="22"/>
          <w:szCs w:val="22"/>
        </w:rPr>
        <w:t xml:space="preserve">Ubay, Naomi Endah Pratiwi, Bistok Hasiholan Simanjuntak, dan Dina Banjarnahor. 2017 “Pengaruh Campuran Media Tanam Terhadap Pertumbuhan Tanaman Stroberi (Fragaria Vesca L.) Sebagai Tanaman Hias Taman Vertikal”. p-issn 6854-9028, e – issn 2549-9343 Diperoleh tanggal 31 Nopember 2024 dari </w:t>
      </w:r>
      <w:r>
        <w:fldChar w:fldCharType="begin"/>
      </w:r>
      <w:r>
        <w:instrText xml:space="preserve"> HYPERLINK "file:///C:/Users/USER/Downloads/1171-Article%20Text-3137-1-10-20170917%20(1).pdf" </w:instrText>
      </w:r>
      <w:r>
        <w:fldChar w:fldCharType="separate"/>
      </w:r>
      <w:r>
        <w:rPr>
          <w:rStyle w:val="29"/>
          <w:sz w:val="22"/>
          <w:szCs w:val="22"/>
        </w:rPr>
        <w:t>file:///C:/Users/USER/Downloads/1171-Article%20Text-3137-1-10-20170917%20(1).pdf</w:t>
      </w:r>
      <w:r>
        <w:rPr>
          <w:rStyle w:val="29"/>
          <w:sz w:val="22"/>
          <w:szCs w:val="22"/>
        </w:rPr>
        <w:fldChar w:fldCharType="end"/>
      </w:r>
      <w:r>
        <w:rPr>
          <w:sz w:val="22"/>
          <w:szCs w:val="22"/>
        </w:rPr>
        <w:t xml:space="preserve">  </w:t>
      </w:r>
    </w:p>
    <w:p>
      <w:pPr>
        <w:ind w:left="709" w:hanging="709"/>
        <w:jc w:val="both"/>
        <w:rPr>
          <w:sz w:val="22"/>
          <w:szCs w:val="22"/>
        </w:rPr>
      </w:pPr>
    </w:p>
    <w:p>
      <w:pPr>
        <w:ind w:left="709" w:hanging="709"/>
        <w:jc w:val="both"/>
        <w:rPr>
          <w:sz w:val="22"/>
          <w:szCs w:val="22"/>
        </w:rPr>
      </w:pPr>
      <w:r>
        <w:rPr>
          <w:sz w:val="22"/>
          <w:szCs w:val="22"/>
        </w:rPr>
        <w:t>Wahyu Astiko , Ahsani Taqwim, Bambang Budi Santoso 2018. “Pengaruh Panjang Dan Diameter Stek Batang Terhadap Pertumbuhan Bibit Kelor (</w:t>
      </w:r>
      <w:r>
        <w:rPr>
          <w:i/>
          <w:sz w:val="22"/>
          <w:szCs w:val="22"/>
        </w:rPr>
        <w:t>Moringa oleifera</w:t>
      </w:r>
      <w:r>
        <w:rPr>
          <w:sz w:val="22"/>
          <w:szCs w:val="22"/>
        </w:rPr>
        <w:t xml:space="preserve"> Lam.)” diperoleh tanggal 3 Nopember 2024 dari  </w:t>
      </w:r>
      <w:r>
        <w:fldChar w:fldCharType="begin"/>
      </w:r>
      <w:r>
        <w:instrText xml:space="preserve"> HYPERLINK "http://eprints.unram.ac.id/4486/1/Jurnal.pdf" </w:instrText>
      </w:r>
      <w:r>
        <w:fldChar w:fldCharType="separate"/>
      </w:r>
      <w:r>
        <w:rPr>
          <w:rStyle w:val="29"/>
          <w:sz w:val="22"/>
          <w:szCs w:val="22"/>
        </w:rPr>
        <w:t>http://eprints.unram.ac.id/4486/1/Jurnal.pdf</w:t>
      </w:r>
      <w:r>
        <w:rPr>
          <w:rStyle w:val="29"/>
          <w:sz w:val="22"/>
          <w:szCs w:val="22"/>
        </w:rPr>
        <w:fldChar w:fldCharType="end"/>
      </w:r>
      <w:r>
        <w:rPr>
          <w:sz w:val="22"/>
          <w:szCs w:val="22"/>
        </w:rPr>
        <w:t xml:space="preserve"> </w:t>
      </w:r>
    </w:p>
    <w:p>
      <w:pPr>
        <w:tabs>
          <w:tab w:val="left" w:pos="567"/>
        </w:tabs>
        <w:spacing w:line="360" w:lineRule="auto"/>
        <w:jc w:val="both"/>
        <w:rPr>
          <w:sz w:val="22"/>
          <w:szCs w:val="22"/>
        </w:rPr>
      </w:pPr>
    </w:p>
    <w:p>
      <w:pPr>
        <w:tabs>
          <w:tab w:val="left" w:pos="567"/>
        </w:tabs>
        <w:spacing w:line="360" w:lineRule="auto"/>
        <w:jc w:val="both"/>
        <w:rPr>
          <w:sz w:val="22"/>
          <w:szCs w:val="22"/>
        </w:rPr>
      </w:pPr>
    </w:p>
    <w:p>
      <w:pPr>
        <w:tabs>
          <w:tab w:val="left" w:pos="567"/>
        </w:tabs>
        <w:spacing w:line="360" w:lineRule="auto"/>
        <w:jc w:val="both"/>
        <w:rPr>
          <w:sz w:val="22"/>
          <w:szCs w:val="22"/>
        </w:rPr>
      </w:pPr>
    </w:p>
    <w:p>
      <w:pPr>
        <w:tabs>
          <w:tab w:val="left" w:pos="567"/>
        </w:tabs>
        <w:spacing w:line="360" w:lineRule="auto"/>
        <w:jc w:val="both"/>
        <w:rPr>
          <w:sz w:val="22"/>
          <w:szCs w:val="22"/>
        </w:rPr>
      </w:pPr>
    </w:p>
    <w:p>
      <w:pPr>
        <w:tabs>
          <w:tab w:val="left" w:pos="567"/>
        </w:tabs>
        <w:spacing w:line="360" w:lineRule="auto"/>
        <w:jc w:val="both"/>
        <w:rPr>
          <w:sz w:val="22"/>
          <w:szCs w:val="22"/>
        </w:rPr>
      </w:pPr>
    </w:p>
    <w:p>
      <w:pPr>
        <w:tabs>
          <w:tab w:val="left" w:pos="567"/>
        </w:tabs>
        <w:spacing w:line="360" w:lineRule="auto"/>
        <w:jc w:val="both"/>
        <w:rPr>
          <w:sz w:val="22"/>
          <w:szCs w:val="22"/>
        </w:rPr>
      </w:pPr>
    </w:p>
    <w:sectPr>
      <w:headerReference r:id="rId5" w:type="first"/>
      <w:footerReference r:id="rId8" w:type="first"/>
      <w:headerReference r:id="rId3" w:type="default"/>
      <w:footerReference r:id="rId6" w:type="default"/>
      <w:headerReference r:id="rId4" w:type="even"/>
      <w:footerReference r:id="rId7"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aditional Arabic">
    <w:altName w:val="Segoe Print"/>
    <w:panose1 w:val="00000000000000000000"/>
    <w:charset w:val="B2"/>
    <w:family w:val="roman"/>
    <w:pitch w:val="default"/>
    <w:sig w:usb0="00000000" w:usb1="00000000" w:usb2="00000008" w:usb3="00000000" w:csb0="00000041" w:csb1="00000000"/>
  </w:font>
  <w:font w:name="Segoe Print">
    <w:panose1 w:val="02000600000000000000"/>
    <w:charset w:val="00"/>
    <w:family w:val="auto"/>
    <w:pitch w:val="default"/>
    <w:sig w:usb0="0000028F" w:usb1="00000000" w:usb2="00000000" w:usb3="00000000" w:csb0="2000009F" w:csb1="4701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Palatino">
    <w:altName w:val="Book Antiqua"/>
    <w:panose1 w:val="00000000000000000000"/>
    <w:charset w:val="00"/>
    <w:family w:val="roman"/>
    <w:pitch w:val="default"/>
    <w:sig w:usb0="00000000" w:usb1="00000000" w:usb2="00000000" w:usb3="00000000" w:csb0="00000093" w:csb1="00000000"/>
  </w:font>
  <w:font w:name="Book Antiqua">
    <w:panose1 w:val="02040602050305030304"/>
    <w:charset w:val="00"/>
    <w:family w:val="auto"/>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aiandra GD">
    <w:altName w:val="AmdtSymbols"/>
    <w:panose1 w:val="020E0502030308020204"/>
    <w:charset w:val="00"/>
    <w:family w:val="swiss"/>
    <w:pitch w:val="default"/>
    <w:sig w:usb0="00000000" w:usb1="00000000" w:usb2="00000000" w:usb3="00000000" w:csb0="00000001" w:csb1="00000000"/>
  </w:font>
  <w:font w:name="AmdtSymbols">
    <w:panose1 w:val="02000500000000020004"/>
    <w:charset w:val="00"/>
    <w:family w:val="auto"/>
    <w:pitch w:val="default"/>
    <w:sig w:usb0="00000001"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76" w:lineRule="auto"/>
      <w:rPr>
        <w:color w:val="000000"/>
      </w:rPr>
    </w:pPr>
  </w:p>
  <w:tbl>
    <w:tblPr>
      <w:tblStyle w:val="12"/>
      <w:tblW w:w="9286" w:type="dxa"/>
      <w:tblInd w:w="0" w:type="dxa"/>
      <w:tblLayout w:type="fixed"/>
      <w:tblCellMar>
        <w:top w:w="0" w:type="dxa"/>
        <w:left w:w="108" w:type="dxa"/>
        <w:bottom w:w="0" w:type="dxa"/>
        <w:right w:w="108" w:type="dxa"/>
      </w:tblCellMar>
    </w:tblPr>
    <w:tblGrid>
      <w:gridCol w:w="8046"/>
      <w:gridCol w:w="1240"/>
    </w:tblGrid>
    <w:tr>
      <w:tblPrEx>
        <w:tblCellMar>
          <w:top w:w="0" w:type="dxa"/>
          <w:left w:w="108" w:type="dxa"/>
          <w:bottom w:w="0" w:type="dxa"/>
          <w:right w:w="108" w:type="dxa"/>
        </w:tblCellMar>
      </w:tblPrEx>
      <w:tc>
        <w:tcPr>
          <w:tcW w:w="8046" w:type="dxa"/>
        </w:tcPr>
        <w:p>
          <w:pPr>
            <w:tabs>
              <w:tab w:val="center" w:pos="4320"/>
              <w:tab w:val="right" w:pos="8640"/>
            </w:tabs>
            <w:rPr>
              <w:color w:val="000000"/>
            </w:rPr>
          </w:pPr>
          <w:r>
            <w:rPr>
              <w:color w:val="000000"/>
            </w:rPr>
            <w:t>Agrotechbiz : Jurnal Ilmiah Pertanian</w:t>
          </w:r>
        </w:p>
        <w:p>
          <w:pPr>
            <w:tabs>
              <w:tab w:val="center" w:pos="4320"/>
              <w:tab w:val="right" w:pos="8640"/>
              <w:tab w:val="right" w:pos="9639"/>
            </w:tabs>
            <w:rPr>
              <w:i/>
              <w:color w:val="000000"/>
            </w:rPr>
          </w:pPr>
          <w:r>
            <w:rPr>
              <w:i/>
              <w:color w:val="000000"/>
            </w:rPr>
            <w:t>https://ejournal.upm.ac.id/index.php/agrotechbiz</w:t>
          </w:r>
          <w:r>
            <w:rPr>
              <w:i/>
              <w:color w:val="FFFFFF" w:themeColor="background1"/>
              <w14:textFill>
                <w14:solidFill>
                  <w14:schemeClr w14:val="bg1"/>
                </w14:solidFill>
              </w14:textFill>
            </w:rPr>
            <w:t>.upm.ac.id/index.php/abdipancamarga</w:t>
          </w:r>
        </w:p>
      </w:tc>
      <w:tc>
        <w:tcPr>
          <w:tcW w:w="1240" w:type="dxa"/>
        </w:tcPr>
        <w:p>
          <w:pPr>
            <w:tabs>
              <w:tab w:val="center" w:pos="4320"/>
              <w:tab w:val="right" w:pos="8640"/>
            </w:tabs>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4</w:t>
          </w:r>
          <w:r>
            <w:rPr>
              <w:color w:val="000000"/>
            </w:rPr>
            <w:fldChar w:fldCharType="end"/>
          </w:r>
        </w:p>
      </w:tc>
    </w:tr>
  </w:tbl>
  <w:p>
    <w:pPr>
      <w:tabs>
        <w:tab w:val="center" w:pos="4320"/>
        <w:tab w:val="right" w:pos="8640"/>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ind w:right="60"/>
      <w:jc w:val="right"/>
      <w:rPr>
        <w:color w:val="000000"/>
        <w:sz w:val="24"/>
        <w:szCs w:val="24"/>
      </w:rPr>
    </w:pPr>
    <w:r>
      <w:rPr>
        <w:color w:val="000000"/>
        <w:sz w:val="24"/>
        <w:szCs w:val="24"/>
      </w:rPr>
      <w:t xml:space="preserve"> </w:t>
    </w:r>
    <w:r>
      <w:rPr>
        <w:color w:val="000000"/>
        <w:sz w:val="24"/>
        <w:szCs w:val="24"/>
      </w:rPr>
      <w:fldChar w:fldCharType="begin"/>
    </w:r>
    <w:r>
      <w:rPr>
        <w:color w:val="000000"/>
        <w:sz w:val="24"/>
        <w:szCs w:val="24"/>
      </w:rPr>
      <w:instrText xml:space="preserve">PAGE</w:instrText>
    </w:r>
    <w:r>
      <w:rPr>
        <w:color w:val="00000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rPr>
        <w:color w:val="000000"/>
      </w:rPr>
    </w:pPr>
    <w:r>
      <w:rPr>
        <w:color w:val="000000"/>
      </w:rPr>
      <w:t xml:space="preserve">Agrotechbiz : Jurnal Ilmiah Pertanian </w:t>
    </w:r>
  </w:p>
  <w:p>
    <w:pPr>
      <w:pStyle w:val="24"/>
    </w:pPr>
    <w:r>
      <w:rPr>
        <w:i/>
        <w:color w:val="000000"/>
      </w:rPr>
      <w:t>https://ejournal.upm.ac.id/index.php/agrotechbiz</w:t>
    </w:r>
    <w:r>
      <w:rPr>
        <w:i/>
        <w:color w:val="FFFFFF" w:themeColor="background1"/>
        <w14:textFill>
          <w14:solidFill>
            <w14:schemeClr w14:val="bg1"/>
          </w14:solidFill>
        </w14:textFill>
      </w:rPr>
      <w:t>ejournal</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320"/>
        <w:tab w:val="right" w:pos="8640"/>
        <w:tab w:val="right" w:pos="9070"/>
      </w:tabs>
      <w:rPr>
        <w:color w:val="000000"/>
        <w:sz w:val="24"/>
        <w:szCs w:val="24"/>
      </w:rPr>
    </w:pPr>
    <w:r>
      <w:rPr>
        <w:color w:val="000000"/>
      </w:rPr>
      <w:t>Jurnal Agrotechbiz, Vol. 1</w:t>
    </w:r>
    <w:r>
      <w:rPr>
        <w:rFonts w:hint="default"/>
        <w:color w:val="000000"/>
        <w:lang w:val="en-US"/>
      </w:rPr>
      <w:t>2</w:t>
    </w:r>
    <w:r>
      <w:rPr>
        <w:color w:val="000000"/>
      </w:rPr>
      <w:t>, No. 2  , Desember 2024</w:t>
    </w:r>
    <w:r>
      <w:rPr>
        <w:rFonts w:hint="default"/>
        <w:color w:val="000000"/>
        <w:lang w:val="en-US"/>
      </w:rPr>
      <w:tab/>
    </w:r>
    <w:r>
      <w:rPr>
        <w:color w:val="000000"/>
      </w:rPr>
      <w:tab/>
    </w:r>
    <w:r>
      <w:rPr>
        <w:color w:val="000000"/>
      </w:rPr>
      <w:t>ISSN 2355 – 195X</w:t>
    </w:r>
    <w:r>
      <w:rPr>
        <w:rFonts w:ascii="Garamond" w:hAnsi="Garamond" w:eastAsia="Garamond" w:cs="Garamond"/>
        <w:b/>
        <w:color w:val="000000"/>
        <w:sz w:val="24"/>
        <w:szCs w:val="24"/>
      </w:rPr>
      <w:t xml:space="preserve">       </w:t>
    </w:r>
  </w:p>
  <w:p>
    <w:pPr>
      <w:tabs>
        <w:tab w:val="center" w:pos="4320"/>
        <w:tab w:val="right" w:pos="8640"/>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ind w:right="360"/>
      <w:rPr>
        <w:i/>
        <w:color w:val="000000"/>
      </w:rPr>
    </w:pPr>
  </w:p>
  <w:p>
    <w:pPr>
      <w:tabs>
        <w:tab w:val="center" w:pos="4320"/>
        <w:tab w:val="right" w:pos="8640"/>
      </w:tabs>
      <w:ind w:right="360"/>
      <w:rPr>
        <w:i/>
        <w:color w:val="000000"/>
      </w:rPr>
    </w:pPr>
  </w:p>
  <w:p>
    <w:pPr>
      <w:tabs>
        <w:tab w:val="center" w:pos="4320"/>
        <w:tab w:val="right" w:pos="8640"/>
      </w:tabs>
      <w:ind w:right="360"/>
      <w:rPr>
        <w:i/>
        <w:color w:val="000000"/>
      </w:rPr>
    </w:pPr>
  </w:p>
  <w:p>
    <w:pPr>
      <w:tabs>
        <w:tab w:val="center" w:pos="4320"/>
        <w:tab w:val="right" w:pos="8640"/>
      </w:tabs>
      <w:ind w:right="360"/>
      <w:rPr>
        <w:i/>
        <w:color w:val="000000"/>
      </w:rPr>
    </w:pPr>
  </w:p>
  <w:p>
    <w:pPr>
      <w:tabs>
        <w:tab w:val="center" w:pos="4320"/>
        <w:tab w:val="right" w:pos="8640"/>
      </w:tabs>
      <w:ind w:right="360"/>
      <w:rPr>
        <w:i/>
        <w:color w:val="000000"/>
      </w:rPr>
    </w:pPr>
    <w:r>
      <w:rPr>
        <w:i/>
        <w:color w:val="000000"/>
      </w:rPr>
      <w:t xml:space="preserve">JURNAL PENGABDIAN DAN PEMBERDAYAAN MASYARAKAT,Vol 1,  No.1, Maret 2016    </w:t>
    </w:r>
  </w:p>
  <w:p>
    <w:pPr>
      <w:tabs>
        <w:tab w:val="center" w:pos="4320"/>
        <w:tab w:val="right" w:pos="8640"/>
      </w:tabs>
      <w:ind w:right="360"/>
      <w:rPr>
        <w:i/>
        <w:color w:val="000000"/>
      </w:rPr>
    </w:pPr>
    <w:r>
      <w:rPr>
        <w:i/>
        <w:color w:val="000000"/>
      </w:rPr>
      <w:t>ISSN ..............................</w:t>
    </w:r>
  </w:p>
  <w:p>
    <w:pPr>
      <w:tabs>
        <w:tab w:val="center" w:pos="4320"/>
        <w:tab w:val="right" w:pos="8640"/>
      </w:tabs>
      <w:rPr>
        <w:color w:val="000000"/>
        <w:sz w:val="24"/>
        <w:szCs w:val="24"/>
      </w:rPr>
    </w:pPr>
    <w:r>
      <w:rPr>
        <w:lang w:val="id-ID"/>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804765"/>
                        <a:ext cx="504380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9pt;margin-top:0pt;height:1pt;width:1pt;z-index:251659264;mso-width-relative:page;mso-height-relative:page;" fillcolor="#FFFFFF" filled="t" stroked="t" coordsize="21600,21600" o:gfxdata="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a4HXRAAAABAEAAA8AAAAAAAAAAQAgAAAAIgAAAGRycy9kb3ducmV2&#10;LnhtbFBLAQIUABQAAAAIAIdO4kAc22YaAwIAADYEAAAOAAAAAAAAAAEAIAAAACABAABkcnMvZTJv&#10;RG9jLnhtbFBLBQYAAAAABgAGAFkBAACVBQAAAAA=&#10;">
              <v:fill on="t" focussize="0,0"/>
              <v:stroke weight="1pt" color="#000000" joinstyle="round" startarrowwidth="narrow" startarrowlength="short" endarrowwidth="narrow" endarrowlength="short"/>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320"/>
        <w:tab w:val="right" w:pos="8640"/>
        <w:tab w:val="right" w:pos="9070"/>
      </w:tabs>
      <w:rPr>
        <w:color w:val="000000"/>
        <w:sz w:val="24"/>
        <w:szCs w:val="24"/>
      </w:rPr>
    </w:pPr>
    <w:r>
      <w:rPr>
        <w:color w:val="000000"/>
      </w:rPr>
      <w:t>Jurnal Agrotechbiz, Vol. 11, No. 1/2  , Juni/Desember 202</w:t>
    </w:r>
    <w:r>
      <w:rPr>
        <w:color w:val="000000"/>
      </w:rPr>
      <w:tab/>
    </w:r>
    <w:r>
      <w:rPr>
        <w:color w:val="000000"/>
      </w:rPr>
      <w:t>ISSN 2355 – 195X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5444C"/>
    <w:multiLevelType w:val="multilevel"/>
    <w:tmpl w:val="2525444C"/>
    <w:lvl w:ilvl="0" w:tentative="0">
      <w:start w:val="1"/>
      <w:numFmt w:val="decimal"/>
      <w:lvlText w:val="%1."/>
      <w:lvlJc w:val="left"/>
      <w:pPr>
        <w:ind w:left="720" w:hanging="360"/>
      </w:pPr>
      <w:rPr>
        <w:rFonts w:hint="default" w:ascii="Maiandra GD" w:hAnsi="Maiandra GD"/>
        <w:color w:val="auto"/>
        <w:sz w:val="22"/>
        <w:szCs w:val="22"/>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BE00DDB"/>
    <w:multiLevelType w:val="multilevel"/>
    <w:tmpl w:val="4BE00DDB"/>
    <w:lvl w:ilvl="0" w:tentative="0">
      <w:start w:val="1"/>
      <w:numFmt w:val="upperLetter"/>
      <w:lvlText w:val="%1."/>
      <w:lvlJc w:val="left"/>
      <w:pPr>
        <w:ind w:left="1290" w:hanging="360"/>
      </w:pPr>
    </w:lvl>
    <w:lvl w:ilvl="1" w:tentative="0">
      <w:start w:val="1"/>
      <w:numFmt w:val="lowerLetter"/>
      <w:lvlText w:val="%2."/>
      <w:lvlJc w:val="left"/>
      <w:pPr>
        <w:ind w:left="2010" w:hanging="360"/>
      </w:pPr>
    </w:lvl>
    <w:lvl w:ilvl="2" w:tentative="0">
      <w:start w:val="1"/>
      <w:numFmt w:val="lowerRoman"/>
      <w:lvlText w:val="%3."/>
      <w:lvlJc w:val="right"/>
      <w:pPr>
        <w:ind w:left="2730" w:hanging="180"/>
      </w:pPr>
    </w:lvl>
    <w:lvl w:ilvl="3" w:tentative="0">
      <w:start w:val="1"/>
      <w:numFmt w:val="decimal"/>
      <w:lvlText w:val="%4."/>
      <w:lvlJc w:val="left"/>
      <w:pPr>
        <w:ind w:left="3450" w:hanging="360"/>
      </w:pPr>
    </w:lvl>
    <w:lvl w:ilvl="4" w:tentative="0">
      <w:start w:val="1"/>
      <w:numFmt w:val="lowerLetter"/>
      <w:lvlText w:val="%5."/>
      <w:lvlJc w:val="left"/>
      <w:pPr>
        <w:ind w:left="4170" w:hanging="360"/>
      </w:pPr>
    </w:lvl>
    <w:lvl w:ilvl="5" w:tentative="0">
      <w:start w:val="1"/>
      <w:numFmt w:val="lowerRoman"/>
      <w:lvlText w:val="%6."/>
      <w:lvlJc w:val="right"/>
      <w:pPr>
        <w:ind w:left="4890" w:hanging="180"/>
      </w:pPr>
    </w:lvl>
    <w:lvl w:ilvl="6" w:tentative="0">
      <w:start w:val="1"/>
      <w:numFmt w:val="decimal"/>
      <w:lvlText w:val="%7."/>
      <w:lvlJc w:val="left"/>
      <w:pPr>
        <w:ind w:left="5610" w:hanging="360"/>
      </w:pPr>
    </w:lvl>
    <w:lvl w:ilvl="7" w:tentative="0">
      <w:start w:val="1"/>
      <w:numFmt w:val="lowerLetter"/>
      <w:lvlText w:val="%8."/>
      <w:lvlJc w:val="left"/>
      <w:pPr>
        <w:ind w:left="6330" w:hanging="360"/>
      </w:pPr>
    </w:lvl>
    <w:lvl w:ilvl="8" w:tentative="0">
      <w:start w:val="1"/>
      <w:numFmt w:val="lowerRoman"/>
      <w:lvlText w:val="%9."/>
      <w:lvlJc w:val="right"/>
      <w:pPr>
        <w:ind w:left="7050" w:hanging="180"/>
      </w:pPr>
    </w:lvl>
  </w:abstractNum>
  <w:abstractNum w:abstractNumId="2">
    <w:nsid w:val="52CA544A"/>
    <w:multiLevelType w:val="singleLevel"/>
    <w:tmpl w:val="52CA544A"/>
    <w:lvl w:ilvl="0" w:tentative="0">
      <w:start w:val="1"/>
      <w:numFmt w:val="decimal"/>
      <w:pStyle w:val="100"/>
      <w:lvlText w:val="[%1]"/>
      <w:lvlJc w:val="left"/>
      <w:pPr>
        <w:tabs>
          <w:tab w:val="left" w:pos="360"/>
        </w:tabs>
        <w:ind w:left="360" w:hanging="360"/>
      </w:pPr>
      <w:rPr>
        <w:rFonts w:hint="default" w:ascii="Times New Roman" w:hAnsi="Times New Roman" w:cs="Times New Roman"/>
        <w:b w:val="0"/>
        <w:i w:val="0"/>
        <w:sz w:val="16"/>
      </w:rPr>
    </w:lvl>
  </w:abstractNum>
  <w:abstractNum w:abstractNumId="3">
    <w:nsid w:val="62F80515"/>
    <w:multiLevelType w:val="singleLevel"/>
    <w:tmpl w:val="62F80515"/>
    <w:lvl w:ilvl="0" w:tentative="0">
      <w:start w:val="1"/>
      <w:numFmt w:val="decimal"/>
      <w:pStyle w:val="78"/>
      <w:lvlText w:val="%1."/>
      <w:lvlJc w:val="left"/>
      <w:pPr>
        <w:tabs>
          <w:tab w:val="left" w:pos="360"/>
        </w:tabs>
        <w:ind w:left="360" w:hanging="360"/>
      </w:pPr>
    </w:lvl>
  </w:abstractNum>
  <w:abstractNum w:abstractNumId="4">
    <w:nsid w:val="6CD32DA8"/>
    <w:multiLevelType w:val="singleLevel"/>
    <w:tmpl w:val="6CD32DA8"/>
    <w:lvl w:ilvl="0" w:tentative="0">
      <w:start w:val="1"/>
      <w:numFmt w:val="upperRoman"/>
      <w:pStyle w:val="103"/>
      <w:lvlText w:val="TABLE %1. "/>
      <w:lvlJc w:val="left"/>
      <w:pPr>
        <w:tabs>
          <w:tab w:val="left" w:pos="1080"/>
        </w:tabs>
        <w:ind w:left="0" w:firstLine="0"/>
      </w:pPr>
      <w:rPr>
        <w:rFonts w:hint="default" w:ascii="Times New Roman" w:hAnsi="Times New Roman" w:cs="Times New Roman"/>
        <w:b w:val="0"/>
        <w:i w:val="0"/>
        <w:sz w:val="16"/>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59"/>
    <w:rsid w:val="00006656"/>
    <w:rsid w:val="000470F5"/>
    <w:rsid w:val="00067874"/>
    <w:rsid w:val="000947A6"/>
    <w:rsid w:val="00097F3D"/>
    <w:rsid w:val="000B6405"/>
    <w:rsid w:val="000C59C2"/>
    <w:rsid w:val="000C776C"/>
    <w:rsid w:val="000D5542"/>
    <w:rsid w:val="00103B73"/>
    <w:rsid w:val="00117490"/>
    <w:rsid w:val="00127DF0"/>
    <w:rsid w:val="001746F0"/>
    <w:rsid w:val="00180C84"/>
    <w:rsid w:val="001815D2"/>
    <w:rsid w:val="001B0DBA"/>
    <w:rsid w:val="001C4297"/>
    <w:rsid w:val="00271C56"/>
    <w:rsid w:val="00276631"/>
    <w:rsid w:val="00283687"/>
    <w:rsid w:val="002A045E"/>
    <w:rsid w:val="002C25C6"/>
    <w:rsid w:val="002F006A"/>
    <w:rsid w:val="00322E06"/>
    <w:rsid w:val="003447F1"/>
    <w:rsid w:val="00351259"/>
    <w:rsid w:val="00380CC1"/>
    <w:rsid w:val="0038325D"/>
    <w:rsid w:val="003940A9"/>
    <w:rsid w:val="0039639E"/>
    <w:rsid w:val="003A2E12"/>
    <w:rsid w:val="003A4F5A"/>
    <w:rsid w:val="003D7AA7"/>
    <w:rsid w:val="003E317B"/>
    <w:rsid w:val="004130DD"/>
    <w:rsid w:val="00417ED2"/>
    <w:rsid w:val="00434ADE"/>
    <w:rsid w:val="004413AC"/>
    <w:rsid w:val="004B30E4"/>
    <w:rsid w:val="004C16BC"/>
    <w:rsid w:val="004C3C8B"/>
    <w:rsid w:val="004D063D"/>
    <w:rsid w:val="004D6E73"/>
    <w:rsid w:val="004E0F73"/>
    <w:rsid w:val="0053372E"/>
    <w:rsid w:val="00533B8F"/>
    <w:rsid w:val="00552827"/>
    <w:rsid w:val="0056484B"/>
    <w:rsid w:val="005A2B1C"/>
    <w:rsid w:val="005C575D"/>
    <w:rsid w:val="005E2F4D"/>
    <w:rsid w:val="00681925"/>
    <w:rsid w:val="00687290"/>
    <w:rsid w:val="006B796E"/>
    <w:rsid w:val="006E5D0B"/>
    <w:rsid w:val="0072210E"/>
    <w:rsid w:val="00731589"/>
    <w:rsid w:val="00743964"/>
    <w:rsid w:val="00791C33"/>
    <w:rsid w:val="00850AE6"/>
    <w:rsid w:val="00896FF8"/>
    <w:rsid w:val="008C3E2A"/>
    <w:rsid w:val="008F4CDF"/>
    <w:rsid w:val="00913FA4"/>
    <w:rsid w:val="009501D0"/>
    <w:rsid w:val="00951DEF"/>
    <w:rsid w:val="009E20BF"/>
    <w:rsid w:val="009E7041"/>
    <w:rsid w:val="00A25DA0"/>
    <w:rsid w:val="00A57DC5"/>
    <w:rsid w:val="00A85130"/>
    <w:rsid w:val="00AB003B"/>
    <w:rsid w:val="00AC2E40"/>
    <w:rsid w:val="00AE4F26"/>
    <w:rsid w:val="00B05F2E"/>
    <w:rsid w:val="00B06092"/>
    <w:rsid w:val="00B336A4"/>
    <w:rsid w:val="00B548CD"/>
    <w:rsid w:val="00B9212D"/>
    <w:rsid w:val="00BA56DA"/>
    <w:rsid w:val="00BE7A6A"/>
    <w:rsid w:val="00C2288B"/>
    <w:rsid w:val="00C23841"/>
    <w:rsid w:val="00C878F3"/>
    <w:rsid w:val="00CA3E82"/>
    <w:rsid w:val="00CE1B34"/>
    <w:rsid w:val="00CE3AB9"/>
    <w:rsid w:val="00D04B47"/>
    <w:rsid w:val="00D15956"/>
    <w:rsid w:val="00D22C66"/>
    <w:rsid w:val="00D2629D"/>
    <w:rsid w:val="00D375CE"/>
    <w:rsid w:val="00D77245"/>
    <w:rsid w:val="00D84D4E"/>
    <w:rsid w:val="00DA0824"/>
    <w:rsid w:val="00DA2812"/>
    <w:rsid w:val="00DC42C3"/>
    <w:rsid w:val="00DE6D6C"/>
    <w:rsid w:val="00E11339"/>
    <w:rsid w:val="00E16CD9"/>
    <w:rsid w:val="00E279B8"/>
    <w:rsid w:val="00E41026"/>
    <w:rsid w:val="00E529B1"/>
    <w:rsid w:val="00E83AF9"/>
    <w:rsid w:val="00E96D58"/>
    <w:rsid w:val="00EE5AD3"/>
    <w:rsid w:val="00EE6A73"/>
    <w:rsid w:val="00F12B6C"/>
    <w:rsid w:val="00F86BB6"/>
    <w:rsid w:val="00F959B9"/>
    <w:rsid w:val="00FC33D0"/>
    <w:rsid w:val="00FC354D"/>
    <w:rsid w:val="00FE41A8"/>
    <w:rsid w:val="03E82080"/>
    <w:rsid w:val="338E0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name="Body Text 2"/>
    <w:lsdException w:uiPriority="99" w:name="Body Text 3"/>
    <w:lsdException w:qFormat="1" w:uiPriority="0" w:name="Body Text Indent 2"/>
    <w:lsdException w:qFormat="1" w:uiPriority="0" w:name="Body Text Indent 3"/>
    <w:lsdException w:uiPriority="99" w:name="Block Text"/>
    <w:lsdException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id-ID" w:bidi="ar-SA"/>
    </w:rPr>
  </w:style>
  <w:style w:type="paragraph" w:styleId="2">
    <w:name w:val="heading 1"/>
    <w:basedOn w:val="1"/>
    <w:next w:val="1"/>
    <w:link w:val="44"/>
    <w:qFormat/>
    <w:uiPriority w:val="9"/>
    <w:pPr>
      <w:keepNext/>
      <w:spacing w:line="480" w:lineRule="auto"/>
      <w:jc w:val="center"/>
      <w:outlineLvl w:val="0"/>
    </w:pPr>
    <w:rPr>
      <w:b/>
      <w:bCs/>
      <w:lang w:eastAsia="en-US"/>
    </w:rPr>
  </w:style>
  <w:style w:type="paragraph" w:styleId="3">
    <w:name w:val="heading 2"/>
    <w:basedOn w:val="1"/>
    <w:next w:val="1"/>
    <w:link w:val="42"/>
    <w:semiHidden/>
    <w:unhideWhenUsed/>
    <w:qFormat/>
    <w:uiPriority w:val="9"/>
    <w:pPr>
      <w:keepNext/>
      <w:spacing w:before="240" w:after="60"/>
      <w:outlineLvl w:val="1"/>
    </w:pPr>
    <w:rPr>
      <w:rFonts w:ascii="Arial" w:hAnsi="Arial" w:cs="Arial"/>
      <w:b/>
      <w:bCs/>
      <w:i/>
      <w:iCs/>
      <w:sz w:val="28"/>
      <w:szCs w:val="28"/>
      <w:lang w:eastAsia="en-US"/>
    </w:rPr>
  </w:style>
  <w:style w:type="paragraph" w:styleId="4">
    <w:name w:val="heading 3"/>
    <w:basedOn w:val="1"/>
    <w:next w:val="1"/>
    <w:link w:val="45"/>
    <w:semiHidden/>
    <w:unhideWhenUsed/>
    <w:qFormat/>
    <w:uiPriority w:val="9"/>
    <w:pPr>
      <w:keepNext/>
      <w:spacing w:before="240" w:after="60"/>
      <w:outlineLvl w:val="2"/>
    </w:pPr>
    <w:rPr>
      <w:rFonts w:ascii="Arial" w:hAnsi="Arial" w:cs="Arial"/>
      <w:b/>
      <w:bCs/>
      <w:sz w:val="26"/>
      <w:szCs w:val="26"/>
      <w:lang w:eastAsia="en-US"/>
    </w:rPr>
  </w:style>
  <w:style w:type="paragraph" w:styleId="5">
    <w:name w:val="heading 4"/>
    <w:basedOn w:val="1"/>
    <w:next w:val="1"/>
    <w:link w:val="46"/>
    <w:semiHidden/>
    <w:unhideWhenUsed/>
    <w:qFormat/>
    <w:uiPriority w:val="9"/>
    <w:pPr>
      <w:keepNext/>
      <w:spacing w:before="240" w:after="60"/>
      <w:outlineLvl w:val="3"/>
    </w:pPr>
    <w:rPr>
      <w:b/>
      <w:bCs/>
      <w:sz w:val="28"/>
      <w:szCs w:val="28"/>
      <w:lang w:eastAsia="en-US"/>
    </w:rPr>
  </w:style>
  <w:style w:type="paragraph" w:styleId="6">
    <w:name w:val="heading 5"/>
    <w:basedOn w:val="1"/>
    <w:next w:val="1"/>
    <w:link w:val="47"/>
    <w:semiHidden/>
    <w:unhideWhenUsed/>
    <w:qFormat/>
    <w:uiPriority w:val="9"/>
    <w:pPr>
      <w:spacing w:before="240" w:after="60"/>
      <w:outlineLvl w:val="4"/>
    </w:pPr>
    <w:rPr>
      <w:b/>
      <w:bCs/>
      <w:i/>
      <w:iCs/>
      <w:sz w:val="26"/>
      <w:szCs w:val="26"/>
      <w:lang w:eastAsia="en-US"/>
    </w:rPr>
  </w:style>
  <w:style w:type="paragraph" w:styleId="7">
    <w:name w:val="heading 6"/>
    <w:basedOn w:val="1"/>
    <w:next w:val="1"/>
    <w:link w:val="48"/>
    <w:semiHidden/>
    <w:unhideWhenUsed/>
    <w:qFormat/>
    <w:uiPriority w:val="0"/>
    <w:pPr>
      <w:keepNext/>
      <w:jc w:val="center"/>
      <w:outlineLvl w:val="5"/>
    </w:pPr>
    <w:rPr>
      <w:b/>
      <w:bCs/>
      <w:i/>
      <w:iCs/>
      <w:u w:val="single"/>
      <w:lang w:eastAsia="en-US"/>
    </w:rPr>
  </w:style>
  <w:style w:type="paragraph" w:styleId="8">
    <w:name w:val="heading 7"/>
    <w:basedOn w:val="1"/>
    <w:next w:val="1"/>
    <w:link w:val="49"/>
    <w:semiHidden/>
    <w:unhideWhenUsed/>
    <w:qFormat/>
    <w:uiPriority w:val="9"/>
    <w:pPr>
      <w:spacing w:before="240" w:after="60"/>
      <w:outlineLvl w:val="6"/>
    </w:pPr>
    <w:rPr>
      <w:sz w:val="24"/>
      <w:szCs w:val="24"/>
      <w:lang w:eastAsia="en-US"/>
    </w:rPr>
  </w:style>
  <w:style w:type="paragraph" w:styleId="9">
    <w:name w:val="heading 8"/>
    <w:basedOn w:val="1"/>
    <w:next w:val="1"/>
    <w:link w:val="50"/>
    <w:semiHidden/>
    <w:unhideWhenUsed/>
    <w:qFormat/>
    <w:uiPriority w:val="9"/>
    <w:pPr>
      <w:keepNext/>
      <w:outlineLvl w:val="7"/>
    </w:pPr>
    <w:rPr>
      <w:b/>
      <w:bCs/>
      <w:lang w:val="pl-PL" w:eastAsia="pl-PL"/>
    </w:rPr>
  </w:style>
  <w:style w:type="paragraph" w:styleId="10">
    <w:name w:val="heading 9"/>
    <w:basedOn w:val="1"/>
    <w:next w:val="1"/>
    <w:link w:val="51"/>
    <w:semiHidden/>
    <w:unhideWhenUsed/>
    <w:qFormat/>
    <w:uiPriority w:val="9"/>
    <w:pPr>
      <w:keepNext/>
      <w:ind w:right="-4041"/>
      <w:outlineLvl w:val="8"/>
    </w:pPr>
    <w:rPr>
      <w:b/>
      <w:bCs/>
      <w:lang w:val="en-AU" w:eastAsia="pl-P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65"/>
    <w:semiHidden/>
    <w:unhideWhenUsed/>
    <w:uiPriority w:val="0"/>
    <w:rPr>
      <w:rFonts w:ascii="Tahoma" w:hAnsi="Tahoma"/>
      <w:sz w:val="16"/>
      <w:szCs w:val="16"/>
      <w:lang w:eastAsia="en-US"/>
    </w:rPr>
  </w:style>
  <w:style w:type="paragraph" w:styleId="14">
    <w:name w:val="Body Text"/>
    <w:basedOn w:val="1"/>
    <w:link w:val="57"/>
    <w:semiHidden/>
    <w:unhideWhenUsed/>
    <w:qFormat/>
    <w:uiPriority w:val="0"/>
    <w:pPr>
      <w:spacing w:after="120"/>
    </w:pPr>
    <w:rPr>
      <w:lang w:val="id-ID"/>
    </w:rPr>
  </w:style>
  <w:style w:type="paragraph" w:styleId="15">
    <w:name w:val="Body Text 2"/>
    <w:basedOn w:val="1"/>
    <w:link w:val="60"/>
    <w:semiHidden/>
    <w:unhideWhenUsed/>
    <w:uiPriority w:val="0"/>
    <w:pPr>
      <w:spacing w:after="120" w:line="480" w:lineRule="auto"/>
    </w:pPr>
    <w:rPr>
      <w:lang w:eastAsia="en-US"/>
    </w:rPr>
  </w:style>
  <w:style w:type="paragraph" w:styleId="16">
    <w:name w:val="Body Text Indent"/>
    <w:basedOn w:val="1"/>
    <w:link w:val="58"/>
    <w:semiHidden/>
    <w:unhideWhenUsed/>
    <w:qFormat/>
    <w:uiPriority w:val="0"/>
    <w:pPr>
      <w:spacing w:line="360" w:lineRule="auto"/>
      <w:ind w:left="456" w:firstLine="984"/>
      <w:jc w:val="both"/>
    </w:pPr>
    <w:rPr>
      <w:lang w:val="id-ID" w:eastAsia="en-US"/>
    </w:rPr>
  </w:style>
  <w:style w:type="paragraph" w:styleId="17">
    <w:name w:val="Body Text Indent 2"/>
    <w:basedOn w:val="1"/>
    <w:link w:val="61"/>
    <w:semiHidden/>
    <w:unhideWhenUsed/>
    <w:qFormat/>
    <w:uiPriority w:val="0"/>
    <w:pPr>
      <w:spacing w:after="120" w:line="480" w:lineRule="auto"/>
      <w:ind w:left="360"/>
    </w:pPr>
    <w:rPr>
      <w:lang w:eastAsia="en-US"/>
    </w:rPr>
  </w:style>
  <w:style w:type="paragraph" w:styleId="18">
    <w:name w:val="Body Text Indent 3"/>
    <w:basedOn w:val="1"/>
    <w:link w:val="62"/>
    <w:semiHidden/>
    <w:unhideWhenUsed/>
    <w:qFormat/>
    <w:uiPriority w:val="0"/>
    <w:pPr>
      <w:spacing w:after="120"/>
      <w:ind w:left="360"/>
    </w:pPr>
    <w:rPr>
      <w:sz w:val="16"/>
      <w:szCs w:val="16"/>
      <w:lang w:eastAsia="en-US"/>
    </w:rPr>
  </w:style>
  <w:style w:type="paragraph" w:styleId="19">
    <w:name w:val="caption"/>
    <w:basedOn w:val="1"/>
    <w:next w:val="1"/>
    <w:semiHidden/>
    <w:unhideWhenUsed/>
    <w:qFormat/>
    <w:uiPriority w:val="0"/>
    <w:pPr>
      <w:spacing w:line="480" w:lineRule="auto"/>
      <w:jc w:val="center"/>
    </w:pPr>
    <w:rPr>
      <w:i/>
      <w:iCs/>
      <w:lang w:eastAsia="en-US"/>
    </w:rPr>
  </w:style>
  <w:style w:type="character" w:styleId="20">
    <w:name w:val="annotation reference"/>
    <w:semiHidden/>
    <w:unhideWhenUsed/>
    <w:qFormat/>
    <w:uiPriority w:val="99"/>
    <w:rPr>
      <w:sz w:val="16"/>
      <w:szCs w:val="16"/>
    </w:rPr>
  </w:style>
  <w:style w:type="paragraph" w:styleId="21">
    <w:name w:val="annotation text"/>
    <w:basedOn w:val="1"/>
    <w:link w:val="55"/>
    <w:semiHidden/>
    <w:unhideWhenUsed/>
    <w:uiPriority w:val="99"/>
    <w:rPr>
      <w:lang w:eastAsia="en-US"/>
    </w:rPr>
  </w:style>
  <w:style w:type="paragraph" w:styleId="22">
    <w:name w:val="annotation subject"/>
    <w:basedOn w:val="21"/>
    <w:next w:val="21"/>
    <w:link w:val="64"/>
    <w:semiHidden/>
    <w:unhideWhenUsed/>
    <w:qFormat/>
    <w:uiPriority w:val="99"/>
    <w:rPr>
      <w:b/>
      <w:bCs/>
    </w:rPr>
  </w:style>
  <w:style w:type="character" w:styleId="23">
    <w:name w:val="FollowedHyperlink"/>
    <w:basedOn w:val="11"/>
    <w:semiHidden/>
    <w:unhideWhenUsed/>
    <w:qFormat/>
    <w:uiPriority w:val="99"/>
    <w:rPr>
      <w:color w:val="954F72" w:themeColor="followedHyperlink"/>
      <w:u w:val="single"/>
      <w14:textFill>
        <w14:solidFill>
          <w14:schemeClr w14:val="folHlink"/>
        </w14:solidFill>
      </w14:textFill>
    </w:rPr>
  </w:style>
  <w:style w:type="paragraph" w:styleId="24">
    <w:name w:val="footer"/>
    <w:basedOn w:val="1"/>
    <w:link w:val="37"/>
    <w:qFormat/>
    <w:uiPriority w:val="99"/>
    <w:pPr>
      <w:tabs>
        <w:tab w:val="center" w:pos="4320"/>
        <w:tab w:val="right" w:pos="8640"/>
      </w:tabs>
    </w:pPr>
  </w:style>
  <w:style w:type="character" w:styleId="25">
    <w:name w:val="footnote reference"/>
    <w:semiHidden/>
    <w:unhideWhenUsed/>
    <w:uiPriority w:val="0"/>
    <w:rPr>
      <w:vertAlign w:val="superscript"/>
    </w:rPr>
  </w:style>
  <w:style w:type="paragraph" w:styleId="26">
    <w:name w:val="footnote text"/>
    <w:basedOn w:val="1"/>
    <w:link w:val="54"/>
    <w:semiHidden/>
    <w:unhideWhenUsed/>
    <w:uiPriority w:val="0"/>
    <w:rPr>
      <w:rFonts w:cs="Traditional Arabic"/>
      <w:lang w:eastAsia="ko-KR"/>
    </w:rPr>
  </w:style>
  <w:style w:type="paragraph" w:styleId="27">
    <w:name w:val="header"/>
    <w:basedOn w:val="1"/>
    <w:link w:val="56"/>
    <w:semiHidden/>
    <w:unhideWhenUsed/>
    <w:qFormat/>
    <w:uiPriority w:val="99"/>
    <w:pPr>
      <w:tabs>
        <w:tab w:val="center" w:pos="4320"/>
        <w:tab w:val="right" w:pos="8640"/>
      </w:tabs>
    </w:pPr>
    <w:rPr>
      <w:lang w:eastAsia="en-US"/>
    </w:rPr>
  </w:style>
  <w:style w:type="paragraph" w:styleId="28">
    <w:name w:val="HTML Preformatted"/>
    <w:basedOn w:val="1"/>
    <w:link w:val="52"/>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styleId="29">
    <w:name w:val="Hyperlink"/>
    <w:unhideWhenUsed/>
    <w:uiPriority w:val="0"/>
    <w:rPr>
      <w:color w:val="0000FF"/>
      <w:u w:val="single"/>
    </w:rPr>
  </w:style>
  <w:style w:type="paragraph" w:styleId="30">
    <w:name w:val="List"/>
    <w:basedOn w:val="1"/>
    <w:semiHidden/>
    <w:unhideWhenUsed/>
    <w:uiPriority w:val="0"/>
    <w:pPr>
      <w:ind w:left="360" w:hanging="360"/>
      <w:jc w:val="center"/>
    </w:pPr>
    <w:rPr>
      <w:sz w:val="24"/>
      <w:szCs w:val="24"/>
      <w:lang w:eastAsia="en-US"/>
    </w:rPr>
  </w:style>
  <w:style w:type="paragraph" w:styleId="31">
    <w:name w:val="Normal (Web)"/>
    <w:basedOn w:val="1"/>
    <w:unhideWhenUsed/>
    <w:uiPriority w:val="99"/>
    <w:pPr>
      <w:spacing w:before="100" w:beforeAutospacing="1" w:after="100" w:afterAutospacing="1"/>
    </w:pPr>
    <w:rPr>
      <w:sz w:val="24"/>
      <w:szCs w:val="24"/>
      <w:lang w:eastAsia="en-US"/>
    </w:rPr>
  </w:style>
  <w:style w:type="paragraph" w:styleId="32">
    <w:name w:val="Plain Text"/>
    <w:basedOn w:val="1"/>
    <w:link w:val="63"/>
    <w:semiHidden/>
    <w:unhideWhenUsed/>
    <w:qFormat/>
    <w:uiPriority w:val="0"/>
    <w:rPr>
      <w:rFonts w:ascii="Courier New" w:hAnsi="Courier New" w:eastAsia="BatangChe"/>
      <w:sz w:val="24"/>
      <w:szCs w:val="24"/>
      <w:lang w:eastAsia="en-US"/>
    </w:rPr>
  </w:style>
  <w:style w:type="character" w:styleId="33">
    <w:name w:val="Strong"/>
    <w:qFormat/>
    <w:uiPriority w:val="22"/>
    <w:rPr>
      <w:rFonts w:hint="default" w:ascii="Times New Roman" w:hAnsi="Times New Roman" w:cs="Times New Roman"/>
      <w:b/>
      <w:bCs/>
    </w:rPr>
  </w:style>
  <w:style w:type="paragraph" w:styleId="34">
    <w:name w:val="Subtitle"/>
    <w:basedOn w:val="1"/>
    <w:link w:val="59"/>
    <w:qFormat/>
    <w:uiPriority w:val="0"/>
    <w:pPr>
      <w:jc w:val="center"/>
    </w:pPr>
    <w:rPr>
      <w:b/>
      <w:bCs/>
      <w:sz w:val="32"/>
      <w:szCs w:val="32"/>
      <w:lang w:val="en-GB" w:eastAsia="en-US"/>
    </w:rPr>
  </w:style>
  <w:style w:type="table" w:styleId="35">
    <w:name w:val="Table Grid"/>
    <w:basedOn w:val="12"/>
    <w:uiPriority w:val="5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
    <w:name w:val="Title"/>
    <w:basedOn w:val="1"/>
    <w:link w:val="39"/>
    <w:qFormat/>
    <w:uiPriority w:val="0"/>
    <w:pPr>
      <w:spacing w:line="360" w:lineRule="auto"/>
      <w:jc w:val="center"/>
    </w:pPr>
    <w:rPr>
      <w:rFonts w:ascii="Arial" w:hAnsi="Arial" w:cs="Arial"/>
      <w:b/>
      <w:bCs/>
      <w:sz w:val="28"/>
      <w:szCs w:val="28"/>
      <w:lang w:eastAsia="en-US"/>
    </w:rPr>
  </w:style>
  <w:style w:type="character" w:customStyle="1" w:styleId="37">
    <w:name w:val="Footer Char"/>
    <w:basedOn w:val="11"/>
    <w:link w:val="24"/>
    <w:uiPriority w:val="99"/>
    <w:rPr>
      <w:rFonts w:ascii="Times New Roman" w:hAnsi="Times New Roman" w:eastAsia="Times New Roman" w:cs="Times New Roman"/>
      <w:kern w:val="0"/>
      <w:sz w:val="20"/>
      <w:szCs w:val="20"/>
      <w:lang w:eastAsia="id-ID"/>
      <w14:ligatures w14:val="none"/>
    </w:rPr>
  </w:style>
  <w:style w:type="paragraph" w:styleId="38">
    <w:name w:val="List Paragraph"/>
    <w:basedOn w:val="1"/>
    <w:link w:val="127"/>
    <w:qFormat/>
    <w:uiPriority w:val="34"/>
    <w:pPr>
      <w:ind w:left="720"/>
      <w:contextualSpacing/>
    </w:pPr>
    <w:rPr>
      <w:sz w:val="24"/>
      <w:szCs w:val="24"/>
      <w:lang w:eastAsia="en-US"/>
    </w:rPr>
  </w:style>
  <w:style w:type="character" w:customStyle="1" w:styleId="39">
    <w:name w:val="Title Char"/>
    <w:basedOn w:val="11"/>
    <w:link w:val="36"/>
    <w:uiPriority w:val="0"/>
    <w:rPr>
      <w:rFonts w:ascii="Arial" w:hAnsi="Arial" w:eastAsia="Times New Roman" w:cs="Arial"/>
      <w:b/>
      <w:bCs/>
      <w:kern w:val="0"/>
      <w:sz w:val="28"/>
      <w:szCs w:val="28"/>
      <w14:ligatures w14:val="none"/>
    </w:rPr>
  </w:style>
  <w:style w:type="character" w:customStyle="1" w:styleId="40">
    <w:name w:val="long_text"/>
    <w:basedOn w:val="11"/>
    <w:qFormat/>
    <w:uiPriority w:val="0"/>
  </w:style>
  <w:style w:type="paragraph" w:customStyle="1" w:styleId="41">
    <w:name w:val="Text"/>
    <w:basedOn w:val="1"/>
    <w:uiPriority w:val="0"/>
    <w:pPr>
      <w:widowControl w:val="0"/>
      <w:autoSpaceDE w:val="0"/>
      <w:autoSpaceDN w:val="0"/>
      <w:spacing w:line="252" w:lineRule="auto"/>
      <w:ind w:firstLine="202"/>
      <w:jc w:val="both"/>
    </w:pPr>
    <w:rPr>
      <w:rFonts w:eastAsia="Batang"/>
      <w:lang w:eastAsia="ko-KR"/>
    </w:rPr>
  </w:style>
  <w:style w:type="character" w:customStyle="1" w:styleId="42">
    <w:name w:val="Heading 2 Char"/>
    <w:basedOn w:val="11"/>
    <w:link w:val="3"/>
    <w:semiHidden/>
    <w:qFormat/>
    <w:uiPriority w:val="9"/>
    <w:rPr>
      <w:rFonts w:ascii="Arial" w:hAnsi="Arial" w:eastAsia="Times New Roman" w:cs="Arial"/>
      <w:b/>
      <w:bCs/>
      <w:i/>
      <w:iCs/>
      <w:kern w:val="0"/>
      <w:sz w:val="28"/>
      <w:szCs w:val="28"/>
      <w14:ligatures w14:val="none"/>
    </w:rPr>
  </w:style>
  <w:style w:type="character" w:customStyle="1" w:styleId="43">
    <w:name w:val="hps"/>
    <w:basedOn w:val="11"/>
    <w:qFormat/>
    <w:uiPriority w:val="0"/>
  </w:style>
  <w:style w:type="character" w:customStyle="1" w:styleId="44">
    <w:name w:val="Heading 1 Char"/>
    <w:basedOn w:val="11"/>
    <w:link w:val="2"/>
    <w:qFormat/>
    <w:uiPriority w:val="9"/>
    <w:rPr>
      <w:rFonts w:ascii="Times New Roman" w:hAnsi="Times New Roman" w:eastAsia="Times New Roman" w:cs="Times New Roman"/>
      <w:b/>
      <w:bCs/>
      <w:kern w:val="0"/>
      <w:sz w:val="20"/>
      <w:szCs w:val="20"/>
      <w14:ligatures w14:val="none"/>
    </w:rPr>
  </w:style>
  <w:style w:type="character" w:customStyle="1" w:styleId="45">
    <w:name w:val="Heading 3 Char"/>
    <w:basedOn w:val="11"/>
    <w:link w:val="4"/>
    <w:semiHidden/>
    <w:uiPriority w:val="9"/>
    <w:rPr>
      <w:rFonts w:ascii="Arial" w:hAnsi="Arial" w:eastAsia="Times New Roman" w:cs="Arial"/>
      <w:b/>
      <w:bCs/>
      <w:kern w:val="0"/>
      <w:sz w:val="26"/>
      <w:szCs w:val="26"/>
      <w14:ligatures w14:val="none"/>
    </w:rPr>
  </w:style>
  <w:style w:type="character" w:customStyle="1" w:styleId="46">
    <w:name w:val="Heading 4 Char"/>
    <w:basedOn w:val="11"/>
    <w:link w:val="5"/>
    <w:semiHidden/>
    <w:qFormat/>
    <w:uiPriority w:val="9"/>
    <w:rPr>
      <w:rFonts w:ascii="Times New Roman" w:hAnsi="Times New Roman" w:eastAsia="Times New Roman" w:cs="Times New Roman"/>
      <w:b/>
      <w:bCs/>
      <w:kern w:val="0"/>
      <w:sz w:val="28"/>
      <w:szCs w:val="28"/>
      <w14:ligatures w14:val="none"/>
    </w:rPr>
  </w:style>
  <w:style w:type="character" w:customStyle="1" w:styleId="47">
    <w:name w:val="Heading 5 Char"/>
    <w:basedOn w:val="11"/>
    <w:link w:val="6"/>
    <w:semiHidden/>
    <w:uiPriority w:val="9"/>
    <w:rPr>
      <w:rFonts w:ascii="Times New Roman" w:hAnsi="Times New Roman" w:eastAsia="Times New Roman" w:cs="Times New Roman"/>
      <w:b/>
      <w:bCs/>
      <w:i/>
      <w:iCs/>
      <w:kern w:val="0"/>
      <w:sz w:val="26"/>
      <w:szCs w:val="26"/>
      <w14:ligatures w14:val="none"/>
    </w:rPr>
  </w:style>
  <w:style w:type="character" w:customStyle="1" w:styleId="48">
    <w:name w:val="Heading 6 Char"/>
    <w:basedOn w:val="11"/>
    <w:link w:val="7"/>
    <w:semiHidden/>
    <w:qFormat/>
    <w:uiPriority w:val="0"/>
    <w:rPr>
      <w:rFonts w:ascii="Times New Roman" w:hAnsi="Times New Roman" w:eastAsia="Times New Roman" w:cs="Times New Roman"/>
      <w:b/>
      <w:bCs/>
      <w:i/>
      <w:iCs/>
      <w:kern w:val="0"/>
      <w:sz w:val="20"/>
      <w:szCs w:val="20"/>
      <w:u w:val="single"/>
      <w14:ligatures w14:val="none"/>
    </w:rPr>
  </w:style>
  <w:style w:type="character" w:customStyle="1" w:styleId="49">
    <w:name w:val="Heading 7 Char"/>
    <w:basedOn w:val="11"/>
    <w:link w:val="8"/>
    <w:semiHidden/>
    <w:qFormat/>
    <w:uiPriority w:val="9"/>
    <w:rPr>
      <w:rFonts w:ascii="Times New Roman" w:hAnsi="Times New Roman" w:eastAsia="Times New Roman" w:cs="Times New Roman"/>
      <w:kern w:val="0"/>
      <w:sz w:val="24"/>
      <w:szCs w:val="24"/>
      <w14:ligatures w14:val="none"/>
    </w:rPr>
  </w:style>
  <w:style w:type="character" w:customStyle="1" w:styleId="50">
    <w:name w:val="Heading 8 Char"/>
    <w:basedOn w:val="11"/>
    <w:link w:val="9"/>
    <w:semiHidden/>
    <w:qFormat/>
    <w:uiPriority w:val="9"/>
    <w:rPr>
      <w:rFonts w:ascii="Times New Roman" w:hAnsi="Times New Roman" w:eastAsia="Times New Roman" w:cs="Times New Roman"/>
      <w:b/>
      <w:bCs/>
      <w:kern w:val="0"/>
      <w:sz w:val="20"/>
      <w:szCs w:val="20"/>
      <w:lang w:val="pl-PL" w:eastAsia="pl-PL"/>
      <w14:ligatures w14:val="none"/>
    </w:rPr>
  </w:style>
  <w:style w:type="character" w:customStyle="1" w:styleId="51">
    <w:name w:val="Heading 9 Char"/>
    <w:basedOn w:val="11"/>
    <w:link w:val="10"/>
    <w:semiHidden/>
    <w:uiPriority w:val="9"/>
    <w:rPr>
      <w:rFonts w:ascii="Times New Roman" w:hAnsi="Times New Roman" w:eastAsia="Times New Roman" w:cs="Times New Roman"/>
      <w:b/>
      <w:bCs/>
      <w:kern w:val="0"/>
      <w:sz w:val="20"/>
      <w:szCs w:val="20"/>
      <w:lang w:val="en-AU" w:eastAsia="pl-PL"/>
      <w14:ligatures w14:val="none"/>
    </w:rPr>
  </w:style>
  <w:style w:type="character" w:customStyle="1" w:styleId="52">
    <w:name w:val="HTML Preformatted Char"/>
    <w:basedOn w:val="11"/>
    <w:link w:val="28"/>
    <w:semiHidden/>
    <w:uiPriority w:val="0"/>
    <w:rPr>
      <w:rFonts w:ascii="Courier New" w:hAnsi="Courier New" w:eastAsia="Times New Roman" w:cs="Courier New"/>
      <w:kern w:val="0"/>
      <w:sz w:val="20"/>
      <w:szCs w:val="20"/>
      <w14:ligatures w14:val="none"/>
    </w:rPr>
  </w:style>
  <w:style w:type="paragraph" w:customStyle="1" w:styleId="53">
    <w:name w:val="msonormal"/>
    <w:basedOn w:val="1"/>
    <w:qFormat/>
    <w:uiPriority w:val="0"/>
    <w:pPr>
      <w:spacing w:before="100" w:beforeAutospacing="1" w:after="100" w:afterAutospacing="1"/>
    </w:pPr>
    <w:rPr>
      <w:sz w:val="24"/>
      <w:szCs w:val="24"/>
      <w:lang w:eastAsia="en-US"/>
    </w:rPr>
  </w:style>
  <w:style w:type="character" w:customStyle="1" w:styleId="54">
    <w:name w:val="Footnote Text Char"/>
    <w:basedOn w:val="11"/>
    <w:link w:val="26"/>
    <w:semiHidden/>
    <w:uiPriority w:val="0"/>
    <w:rPr>
      <w:rFonts w:ascii="Times New Roman" w:hAnsi="Times New Roman" w:eastAsia="Times New Roman" w:cs="Traditional Arabic"/>
      <w:kern w:val="0"/>
      <w:sz w:val="20"/>
      <w:szCs w:val="20"/>
      <w:lang w:eastAsia="ko-KR"/>
      <w14:ligatures w14:val="none"/>
    </w:rPr>
  </w:style>
  <w:style w:type="character" w:customStyle="1" w:styleId="55">
    <w:name w:val="Comment Text Char"/>
    <w:basedOn w:val="11"/>
    <w:link w:val="21"/>
    <w:semiHidden/>
    <w:uiPriority w:val="99"/>
    <w:rPr>
      <w:rFonts w:ascii="Times New Roman" w:hAnsi="Times New Roman" w:eastAsia="Times New Roman" w:cs="Times New Roman"/>
      <w:kern w:val="0"/>
      <w:sz w:val="20"/>
      <w:szCs w:val="20"/>
      <w14:ligatures w14:val="none"/>
    </w:rPr>
  </w:style>
  <w:style w:type="character" w:customStyle="1" w:styleId="56">
    <w:name w:val="Header Char"/>
    <w:basedOn w:val="11"/>
    <w:link w:val="27"/>
    <w:semiHidden/>
    <w:uiPriority w:val="99"/>
    <w:rPr>
      <w:rFonts w:ascii="Times New Roman" w:hAnsi="Times New Roman" w:eastAsia="Times New Roman" w:cs="Times New Roman"/>
      <w:kern w:val="0"/>
      <w:sz w:val="20"/>
      <w:szCs w:val="20"/>
      <w14:ligatures w14:val="none"/>
    </w:rPr>
  </w:style>
  <w:style w:type="character" w:customStyle="1" w:styleId="57">
    <w:name w:val="Body Text Char"/>
    <w:basedOn w:val="11"/>
    <w:link w:val="14"/>
    <w:semiHidden/>
    <w:uiPriority w:val="0"/>
    <w:rPr>
      <w:rFonts w:ascii="Times New Roman" w:hAnsi="Times New Roman" w:eastAsia="Times New Roman" w:cs="Times New Roman"/>
      <w:kern w:val="0"/>
      <w:sz w:val="20"/>
      <w:szCs w:val="20"/>
      <w:lang w:val="id-ID" w:eastAsia="id-ID"/>
      <w14:ligatures w14:val="none"/>
    </w:rPr>
  </w:style>
  <w:style w:type="character" w:customStyle="1" w:styleId="58">
    <w:name w:val="Body Text Indent Char"/>
    <w:basedOn w:val="11"/>
    <w:link w:val="16"/>
    <w:semiHidden/>
    <w:uiPriority w:val="0"/>
    <w:rPr>
      <w:rFonts w:ascii="Times New Roman" w:hAnsi="Times New Roman" w:eastAsia="Times New Roman" w:cs="Times New Roman"/>
      <w:kern w:val="0"/>
      <w:sz w:val="20"/>
      <w:szCs w:val="20"/>
      <w:lang w:val="id-ID"/>
      <w14:ligatures w14:val="none"/>
    </w:rPr>
  </w:style>
  <w:style w:type="character" w:customStyle="1" w:styleId="59">
    <w:name w:val="Subtitle Char"/>
    <w:basedOn w:val="11"/>
    <w:link w:val="34"/>
    <w:uiPriority w:val="0"/>
    <w:rPr>
      <w:rFonts w:ascii="Times New Roman" w:hAnsi="Times New Roman" w:eastAsia="Times New Roman" w:cs="Times New Roman"/>
      <w:b/>
      <w:bCs/>
      <w:kern w:val="0"/>
      <w:sz w:val="32"/>
      <w:szCs w:val="32"/>
      <w:lang w:val="en-GB"/>
      <w14:ligatures w14:val="none"/>
    </w:rPr>
  </w:style>
  <w:style w:type="character" w:customStyle="1" w:styleId="60">
    <w:name w:val="Body Text 2 Char"/>
    <w:basedOn w:val="11"/>
    <w:link w:val="15"/>
    <w:semiHidden/>
    <w:uiPriority w:val="0"/>
    <w:rPr>
      <w:rFonts w:ascii="Times New Roman" w:hAnsi="Times New Roman" w:eastAsia="Times New Roman" w:cs="Times New Roman"/>
      <w:kern w:val="0"/>
      <w:sz w:val="20"/>
      <w:szCs w:val="20"/>
      <w14:ligatures w14:val="none"/>
    </w:rPr>
  </w:style>
  <w:style w:type="character" w:customStyle="1" w:styleId="61">
    <w:name w:val="Body Text Indent 2 Char"/>
    <w:basedOn w:val="11"/>
    <w:link w:val="17"/>
    <w:semiHidden/>
    <w:uiPriority w:val="0"/>
    <w:rPr>
      <w:rFonts w:ascii="Times New Roman" w:hAnsi="Times New Roman" w:eastAsia="Times New Roman" w:cs="Times New Roman"/>
      <w:kern w:val="0"/>
      <w:sz w:val="20"/>
      <w:szCs w:val="20"/>
      <w14:ligatures w14:val="none"/>
    </w:rPr>
  </w:style>
  <w:style w:type="character" w:customStyle="1" w:styleId="62">
    <w:name w:val="Body Text Indent 3 Char"/>
    <w:basedOn w:val="11"/>
    <w:link w:val="18"/>
    <w:semiHidden/>
    <w:uiPriority w:val="0"/>
    <w:rPr>
      <w:rFonts w:ascii="Times New Roman" w:hAnsi="Times New Roman" w:eastAsia="Times New Roman" w:cs="Times New Roman"/>
      <w:kern w:val="0"/>
      <w:sz w:val="16"/>
      <w:szCs w:val="16"/>
      <w14:ligatures w14:val="none"/>
    </w:rPr>
  </w:style>
  <w:style w:type="character" w:customStyle="1" w:styleId="63">
    <w:name w:val="Plain Text Char"/>
    <w:basedOn w:val="11"/>
    <w:link w:val="32"/>
    <w:semiHidden/>
    <w:uiPriority w:val="0"/>
    <w:rPr>
      <w:rFonts w:ascii="Courier New" w:hAnsi="Courier New" w:eastAsia="BatangChe" w:cs="Times New Roman"/>
      <w:kern w:val="0"/>
      <w:sz w:val="24"/>
      <w:szCs w:val="24"/>
      <w14:ligatures w14:val="none"/>
    </w:rPr>
  </w:style>
  <w:style w:type="character" w:customStyle="1" w:styleId="64">
    <w:name w:val="Comment Subject Char"/>
    <w:basedOn w:val="55"/>
    <w:link w:val="22"/>
    <w:semiHidden/>
    <w:uiPriority w:val="99"/>
    <w:rPr>
      <w:rFonts w:ascii="Times New Roman" w:hAnsi="Times New Roman" w:eastAsia="Times New Roman" w:cs="Times New Roman"/>
      <w:b/>
      <w:bCs/>
      <w:kern w:val="0"/>
      <w:sz w:val="20"/>
      <w:szCs w:val="20"/>
      <w14:ligatures w14:val="none"/>
    </w:rPr>
  </w:style>
  <w:style w:type="character" w:customStyle="1" w:styleId="65">
    <w:name w:val="Balloon Text Char"/>
    <w:basedOn w:val="11"/>
    <w:link w:val="13"/>
    <w:semiHidden/>
    <w:uiPriority w:val="0"/>
    <w:rPr>
      <w:rFonts w:ascii="Tahoma" w:hAnsi="Tahoma" w:eastAsia="Times New Roman" w:cs="Times New Roman"/>
      <w:kern w:val="0"/>
      <w:sz w:val="16"/>
      <w:szCs w:val="16"/>
      <w14:ligatures w14:val="none"/>
    </w:rPr>
  </w:style>
  <w:style w:type="character" w:customStyle="1" w:styleId="66">
    <w:name w:val="No Spacing Char"/>
    <w:link w:val="67"/>
    <w:locked/>
    <w:uiPriority w:val="1"/>
    <w:rPr>
      <w:rFonts w:ascii="Calibri" w:hAnsi="Calibri" w:eastAsia="Calibri" w:cs="Calibri"/>
    </w:rPr>
  </w:style>
  <w:style w:type="paragraph" w:styleId="67">
    <w:name w:val="No Spacing"/>
    <w:link w:val="66"/>
    <w:qFormat/>
    <w:uiPriority w:val="1"/>
    <w:rPr>
      <w:rFonts w:ascii="Calibri" w:hAnsi="Calibri" w:eastAsia="Calibri" w:cs="Calibri"/>
      <w:kern w:val="2"/>
      <w:sz w:val="22"/>
      <w:szCs w:val="22"/>
      <w:lang w:val="en-US" w:eastAsia="en-US" w:bidi="ar-SA"/>
      <w14:ligatures w14:val="standardContextual"/>
    </w:rPr>
  </w:style>
  <w:style w:type="paragraph" w:customStyle="1" w:styleId="68">
    <w:name w:val="Judul bab"/>
    <w:basedOn w:val="1"/>
    <w:uiPriority w:val="0"/>
    <w:pPr>
      <w:spacing w:line="475" w:lineRule="atLeast"/>
      <w:jc w:val="center"/>
    </w:pPr>
    <w:rPr>
      <w:b/>
      <w:sz w:val="32"/>
      <w:lang w:eastAsia="en-US"/>
    </w:rPr>
  </w:style>
  <w:style w:type="paragraph" w:customStyle="1" w:styleId="69">
    <w:name w:val="Isi Bab for Komputek"/>
    <w:basedOn w:val="1"/>
    <w:qFormat/>
    <w:uiPriority w:val="0"/>
    <w:pPr>
      <w:ind w:firstLine="720"/>
      <w:jc w:val="both"/>
    </w:pPr>
    <w:rPr>
      <w:lang w:eastAsia="en-US"/>
    </w:rPr>
  </w:style>
  <w:style w:type="paragraph" w:customStyle="1" w:styleId="70">
    <w:name w:val="tole"/>
    <w:basedOn w:val="1"/>
    <w:qFormat/>
    <w:uiPriority w:val="0"/>
    <w:pPr>
      <w:jc w:val="center"/>
      <w:outlineLvl w:val="0"/>
    </w:pPr>
    <w:rPr>
      <w:b/>
      <w:bCs/>
      <w:sz w:val="28"/>
      <w:szCs w:val="28"/>
      <w:lang w:eastAsia="en-US"/>
    </w:rPr>
  </w:style>
  <w:style w:type="paragraph" w:customStyle="1" w:styleId="71">
    <w:name w:val="toles + Bold"/>
    <w:basedOn w:val="1"/>
    <w:uiPriority w:val="0"/>
    <w:pPr>
      <w:jc w:val="center"/>
      <w:outlineLvl w:val="0"/>
    </w:pPr>
    <w:rPr>
      <w:i/>
      <w:iCs/>
      <w:sz w:val="24"/>
      <w:szCs w:val="24"/>
      <w:lang w:eastAsia="en-US"/>
    </w:rPr>
  </w:style>
  <w:style w:type="paragraph" w:customStyle="1" w:styleId="72">
    <w:name w:val="tole + Line spacing:  single"/>
    <w:basedOn w:val="1"/>
    <w:uiPriority w:val="0"/>
    <w:pPr>
      <w:jc w:val="both"/>
    </w:pPr>
    <w:rPr>
      <w:sz w:val="24"/>
      <w:szCs w:val="24"/>
      <w:lang w:eastAsia="en-US"/>
    </w:rPr>
  </w:style>
  <w:style w:type="paragraph" w:customStyle="1" w:styleId="73">
    <w:name w:val="bunga"/>
    <w:basedOn w:val="1"/>
    <w:qFormat/>
    <w:uiPriority w:val="0"/>
    <w:pPr>
      <w:jc w:val="both"/>
    </w:pPr>
    <w:rPr>
      <w:rFonts w:ascii="Arial" w:hAnsi="Arial" w:cs="Arial"/>
      <w:szCs w:val="24"/>
      <w:lang w:eastAsia="en-US"/>
    </w:rPr>
  </w:style>
  <w:style w:type="paragraph" w:customStyle="1" w:styleId="74">
    <w:name w:val="bunga2"/>
    <w:basedOn w:val="1"/>
    <w:qFormat/>
    <w:uiPriority w:val="0"/>
    <w:pPr>
      <w:jc w:val="both"/>
      <w:outlineLvl w:val="0"/>
    </w:pPr>
    <w:rPr>
      <w:rFonts w:ascii="Arial" w:hAnsi="Arial" w:cs="Arial"/>
      <w:b/>
      <w:bCs/>
      <w:szCs w:val="24"/>
      <w:lang w:eastAsia="en-US"/>
    </w:rPr>
  </w:style>
  <w:style w:type="paragraph" w:customStyle="1" w:styleId="75">
    <w:name w:val="DiQi"/>
    <w:basedOn w:val="1"/>
    <w:uiPriority w:val="0"/>
    <w:pPr>
      <w:spacing w:line="360" w:lineRule="auto"/>
      <w:jc w:val="both"/>
    </w:pPr>
    <w:rPr>
      <w:sz w:val="24"/>
      <w:szCs w:val="24"/>
      <w:lang w:eastAsia="en-US"/>
    </w:rPr>
  </w:style>
  <w:style w:type="paragraph" w:customStyle="1" w:styleId="76">
    <w:name w:val="tole3"/>
    <w:basedOn w:val="75"/>
    <w:uiPriority w:val="0"/>
    <w:pPr>
      <w:spacing w:line="240" w:lineRule="auto"/>
      <w:outlineLvl w:val="0"/>
    </w:pPr>
    <w:rPr>
      <w:rFonts w:ascii="Arial" w:hAnsi="Arial" w:cs="Arial"/>
      <w:b/>
      <w:bCs/>
      <w:sz w:val="20"/>
    </w:rPr>
  </w:style>
  <w:style w:type="paragraph" w:customStyle="1" w:styleId="77">
    <w:name w:val="yange"/>
    <w:basedOn w:val="75"/>
    <w:qFormat/>
    <w:uiPriority w:val="0"/>
    <w:pPr>
      <w:spacing w:line="240" w:lineRule="auto"/>
      <w:ind w:left="360"/>
    </w:pPr>
    <w:rPr>
      <w:rFonts w:ascii="Arial" w:hAnsi="Arial" w:cs="Arial"/>
      <w:sz w:val="20"/>
    </w:rPr>
  </w:style>
  <w:style w:type="paragraph" w:customStyle="1" w:styleId="78">
    <w:name w:val="yange2"/>
    <w:basedOn w:val="75"/>
    <w:qFormat/>
    <w:uiPriority w:val="0"/>
    <w:pPr>
      <w:numPr>
        <w:ilvl w:val="0"/>
        <w:numId w:val="1"/>
      </w:numPr>
      <w:spacing w:line="240" w:lineRule="auto"/>
    </w:pPr>
    <w:rPr>
      <w:rFonts w:ascii="Arial" w:hAnsi="Arial" w:cs="Arial"/>
      <w:sz w:val="20"/>
    </w:rPr>
  </w:style>
  <w:style w:type="paragraph" w:customStyle="1" w:styleId="79">
    <w:name w:val="JossTole"/>
    <w:basedOn w:val="75"/>
    <w:uiPriority w:val="0"/>
    <w:pPr>
      <w:spacing w:line="240" w:lineRule="auto"/>
      <w:ind w:firstLine="709"/>
    </w:pPr>
    <w:rPr>
      <w:rFonts w:ascii="Arial" w:hAnsi="Arial" w:cs="Arial"/>
      <w:sz w:val="20"/>
    </w:rPr>
  </w:style>
  <w:style w:type="paragraph" w:customStyle="1" w:styleId="80">
    <w:name w:val="Body 0"/>
    <w:basedOn w:val="1"/>
    <w:qFormat/>
    <w:uiPriority w:val="0"/>
    <w:pPr>
      <w:spacing w:line="360" w:lineRule="atLeast"/>
      <w:jc w:val="both"/>
    </w:pPr>
    <w:rPr>
      <w:rFonts w:ascii="Palatino" w:hAnsi="Palatino"/>
      <w:sz w:val="24"/>
      <w:szCs w:val="24"/>
      <w:lang w:eastAsia="en-US"/>
    </w:rPr>
  </w:style>
  <w:style w:type="paragraph" w:customStyle="1" w:styleId="81">
    <w:name w:val="AutoBiography"/>
    <w:basedOn w:val="1"/>
    <w:uiPriority w:val="0"/>
    <w:pPr>
      <w:jc w:val="both"/>
    </w:pPr>
    <w:rPr>
      <w:rFonts w:eastAsia="MS Mincho" w:cs="Angsana New"/>
      <w:sz w:val="18"/>
      <w:szCs w:val="18"/>
      <w:lang w:eastAsia="en-US" w:bidi="th-TH"/>
    </w:rPr>
  </w:style>
  <w:style w:type="paragraph" w:customStyle="1" w:styleId="82">
    <w:name w:val="Default"/>
    <w:uiPriority w:val="0"/>
    <w:pPr>
      <w:widowControl w:val="0"/>
      <w:autoSpaceDE w:val="0"/>
      <w:autoSpaceDN w:val="0"/>
      <w:adjustRightInd w:val="0"/>
    </w:pPr>
    <w:rPr>
      <w:rFonts w:ascii="Times New Roman" w:hAnsi="Times New Roman" w:eastAsia="Times New Roman" w:cs="Angsana New"/>
      <w:color w:val="000000"/>
      <w:sz w:val="24"/>
      <w:szCs w:val="24"/>
      <w:lang w:val="en-US" w:eastAsia="en-US" w:bidi="ar-SA"/>
    </w:rPr>
  </w:style>
  <w:style w:type="paragraph" w:customStyle="1" w:styleId="83">
    <w:name w:val="Section Title"/>
    <w:basedOn w:val="1"/>
    <w:uiPriority w:val="0"/>
    <w:pPr>
      <w:snapToGrid w:val="0"/>
      <w:jc w:val="both"/>
    </w:pPr>
    <w:rPr>
      <w:rFonts w:eastAsia="MS Mincho" w:cs="Angsana New"/>
      <w:lang w:val="en-GB" w:eastAsia="en-US" w:bidi="th-TH"/>
    </w:rPr>
  </w:style>
  <w:style w:type="character" w:customStyle="1" w:styleId="84">
    <w:name w:val="Style 10 pt Justified Char"/>
    <w:link w:val="85"/>
    <w:qFormat/>
    <w:locked/>
    <w:uiPriority w:val="0"/>
    <w:rPr>
      <w:rFonts w:ascii="Arial" w:hAnsi="Arial" w:eastAsia="MS Mincho" w:cs="Arial"/>
      <w:iCs/>
      <w:lang w:val="en-GB"/>
    </w:rPr>
  </w:style>
  <w:style w:type="paragraph" w:customStyle="1" w:styleId="85">
    <w:name w:val="Style 10 pt Justified"/>
    <w:basedOn w:val="1"/>
    <w:link w:val="84"/>
    <w:qFormat/>
    <w:uiPriority w:val="0"/>
    <w:pPr>
      <w:snapToGrid w:val="0"/>
      <w:ind w:firstLine="720"/>
      <w:jc w:val="both"/>
    </w:pPr>
    <w:rPr>
      <w:rFonts w:ascii="Arial" w:hAnsi="Arial" w:eastAsia="MS Mincho" w:cs="Arial"/>
      <w:iCs/>
      <w:kern w:val="2"/>
      <w:sz w:val="22"/>
      <w:szCs w:val="22"/>
      <w:lang w:val="en-GB" w:eastAsia="en-US"/>
      <w14:ligatures w14:val="standardContextual"/>
    </w:rPr>
  </w:style>
  <w:style w:type="paragraph" w:customStyle="1" w:styleId="86">
    <w:name w:val="paper body"/>
    <w:basedOn w:val="1"/>
    <w:qFormat/>
    <w:uiPriority w:val="0"/>
    <w:pPr>
      <w:jc w:val="both"/>
    </w:pPr>
    <w:rPr>
      <w:sz w:val="24"/>
      <w:szCs w:val="24"/>
      <w:lang w:val="en-AU" w:eastAsia="en-US"/>
    </w:rPr>
  </w:style>
  <w:style w:type="paragraph" w:customStyle="1" w:styleId="87">
    <w:name w:val="Body"/>
    <w:basedOn w:val="1"/>
    <w:qFormat/>
    <w:uiPriority w:val="0"/>
    <w:pPr>
      <w:widowControl w:val="0"/>
      <w:autoSpaceDE w:val="0"/>
      <w:autoSpaceDN w:val="0"/>
      <w:adjustRightInd w:val="0"/>
      <w:ind w:firstLine="340"/>
      <w:jc w:val="both"/>
    </w:pPr>
    <w:rPr>
      <w:rFonts w:eastAsia="BatangChe"/>
      <w:lang w:eastAsia="ko-KR"/>
    </w:rPr>
  </w:style>
  <w:style w:type="paragraph" w:customStyle="1" w:styleId="88">
    <w:name w:val="Reference"/>
    <w:basedOn w:val="1"/>
    <w:qFormat/>
    <w:uiPriority w:val="0"/>
    <w:pPr>
      <w:widowControl w:val="0"/>
      <w:autoSpaceDE w:val="0"/>
      <w:autoSpaceDN w:val="0"/>
      <w:adjustRightInd w:val="0"/>
      <w:spacing w:before="60" w:after="60"/>
      <w:ind w:left="288" w:hanging="288"/>
      <w:jc w:val="both"/>
    </w:pPr>
    <w:rPr>
      <w:rFonts w:eastAsia="BatangChe"/>
      <w:lang w:eastAsia="ko-KR"/>
    </w:rPr>
  </w:style>
  <w:style w:type="paragraph" w:customStyle="1" w:styleId="89">
    <w:name w:val="Demenko"/>
    <w:basedOn w:val="1"/>
    <w:qFormat/>
    <w:uiPriority w:val="0"/>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90">
    <w:name w:val="Equation"/>
    <w:basedOn w:val="1"/>
    <w:next w:val="1"/>
    <w:uiPriority w:val="0"/>
    <w:pPr>
      <w:widowControl w:val="0"/>
      <w:tabs>
        <w:tab w:val="right" w:pos="5040"/>
      </w:tabs>
      <w:autoSpaceDE w:val="0"/>
      <w:autoSpaceDN w:val="0"/>
      <w:spacing w:line="252" w:lineRule="auto"/>
      <w:jc w:val="both"/>
    </w:pPr>
    <w:rPr>
      <w:rFonts w:eastAsia="Batang"/>
      <w:lang w:eastAsia="ko-KR"/>
    </w:rPr>
  </w:style>
  <w:style w:type="paragraph" w:customStyle="1" w:styleId="91">
    <w:name w:val="Table Title"/>
    <w:basedOn w:val="1"/>
    <w:uiPriority w:val="0"/>
    <w:pPr>
      <w:jc w:val="center"/>
    </w:pPr>
    <w:rPr>
      <w:smallCaps/>
      <w:sz w:val="16"/>
      <w:szCs w:val="16"/>
      <w:lang w:eastAsia="en-US"/>
    </w:rPr>
  </w:style>
  <w:style w:type="paragraph" w:customStyle="1" w:styleId="92">
    <w:name w:val="Sub-titles"/>
    <w:basedOn w:val="1"/>
    <w:qFormat/>
    <w:uiPriority w:val="0"/>
    <w:pPr>
      <w:jc w:val="both"/>
    </w:pPr>
    <w:rPr>
      <w:b/>
      <w:bCs/>
      <w:color w:val="000000"/>
      <w:sz w:val="24"/>
      <w:szCs w:val="24"/>
      <w:lang w:val="pt-PT" w:eastAsia="pt-PT"/>
    </w:rPr>
  </w:style>
  <w:style w:type="paragraph" w:customStyle="1" w:styleId="93">
    <w:name w:val="text"/>
    <w:basedOn w:val="1"/>
    <w:uiPriority w:val="0"/>
    <w:pPr>
      <w:ind w:firstLine="227"/>
      <w:jc w:val="both"/>
    </w:pPr>
    <w:rPr>
      <w:lang w:eastAsia="en-US"/>
    </w:rPr>
  </w:style>
  <w:style w:type="paragraph" w:customStyle="1" w:styleId="94">
    <w:name w:val="tables"/>
    <w:basedOn w:val="1"/>
    <w:uiPriority w:val="0"/>
    <w:pPr>
      <w:jc w:val="both"/>
    </w:pPr>
    <w:rPr>
      <w:sz w:val="18"/>
      <w:szCs w:val="18"/>
      <w:lang w:eastAsia="en-US"/>
    </w:rPr>
  </w:style>
  <w:style w:type="paragraph" w:customStyle="1" w:styleId="95">
    <w:name w:val="Abstract"/>
    <w:qFormat/>
    <w:uiPriority w:val="0"/>
    <w:pPr>
      <w:spacing w:after="200"/>
      <w:jc w:val="both"/>
    </w:pPr>
    <w:rPr>
      <w:rFonts w:ascii="Times New Roman" w:hAnsi="Times New Roman" w:eastAsia="SimSun" w:cs="Times New Roman"/>
      <w:b/>
      <w:sz w:val="18"/>
      <w:lang w:val="en-US" w:eastAsia="en-US" w:bidi="ar-SA"/>
    </w:rPr>
  </w:style>
  <w:style w:type="paragraph" w:customStyle="1" w:styleId="96">
    <w:name w:val="Affiliation"/>
    <w:uiPriority w:val="0"/>
    <w:pPr>
      <w:jc w:val="center"/>
    </w:pPr>
    <w:rPr>
      <w:rFonts w:ascii="Times New Roman" w:hAnsi="Times New Roman" w:eastAsia="SimSun" w:cs="Times New Roman"/>
      <w:lang w:val="en-US" w:eastAsia="en-US" w:bidi="ar-SA"/>
    </w:rPr>
  </w:style>
  <w:style w:type="paragraph" w:customStyle="1" w:styleId="97">
    <w:name w:val="equation"/>
    <w:basedOn w:val="1"/>
    <w:uiPriority w:val="0"/>
    <w:pPr>
      <w:tabs>
        <w:tab w:val="center" w:pos="2520"/>
        <w:tab w:val="right" w:pos="5040"/>
      </w:tabs>
      <w:spacing w:before="240" w:after="240" w:line="216" w:lineRule="auto"/>
      <w:jc w:val="center"/>
    </w:pPr>
    <w:rPr>
      <w:rFonts w:eastAsia="SimSun"/>
      <w:lang w:eastAsia="en-US"/>
    </w:rPr>
  </w:style>
  <w:style w:type="paragraph" w:customStyle="1" w:styleId="98">
    <w:name w:val="figure caption"/>
    <w:uiPriority w:val="0"/>
    <w:pPr>
      <w:spacing w:before="80" w:after="200"/>
      <w:jc w:val="center"/>
    </w:pPr>
    <w:rPr>
      <w:rFonts w:ascii="Times New Roman" w:hAnsi="Times New Roman" w:eastAsia="SimSun" w:cs="Times New Roman"/>
      <w:sz w:val="16"/>
      <w:lang w:val="en-US" w:eastAsia="en-US" w:bidi="ar-SA"/>
    </w:rPr>
  </w:style>
  <w:style w:type="paragraph" w:customStyle="1" w:styleId="99">
    <w:name w:val="paper title"/>
    <w:qFormat/>
    <w:uiPriority w:val="0"/>
    <w:pPr>
      <w:spacing w:after="120"/>
      <w:jc w:val="center"/>
    </w:pPr>
    <w:rPr>
      <w:rFonts w:ascii="Times New Roman" w:hAnsi="Times New Roman" w:eastAsia="SimSun" w:cs="Times New Roman"/>
      <w:sz w:val="48"/>
      <w:lang w:val="en-US" w:eastAsia="en-US" w:bidi="ar-SA"/>
    </w:rPr>
  </w:style>
  <w:style w:type="paragraph" w:customStyle="1" w:styleId="100">
    <w:name w:val="references"/>
    <w:qFormat/>
    <w:uiPriority w:val="0"/>
    <w:pPr>
      <w:numPr>
        <w:ilvl w:val="0"/>
        <w:numId w:val="2"/>
      </w:numPr>
      <w:spacing w:after="40" w:line="180" w:lineRule="exact"/>
      <w:jc w:val="both"/>
    </w:pPr>
    <w:rPr>
      <w:rFonts w:ascii="Times New Roman" w:hAnsi="Times New Roman" w:eastAsia="SimSun" w:cs="Times New Roman"/>
      <w:sz w:val="16"/>
      <w:lang w:val="en-US" w:eastAsia="en-US" w:bidi="ar-SA"/>
    </w:rPr>
  </w:style>
  <w:style w:type="paragraph" w:customStyle="1" w:styleId="101">
    <w:name w:val="table col subhead"/>
    <w:basedOn w:val="1"/>
    <w:uiPriority w:val="0"/>
    <w:pPr>
      <w:jc w:val="center"/>
    </w:pPr>
    <w:rPr>
      <w:rFonts w:eastAsia="SimSun"/>
      <w:b/>
      <w:i/>
      <w:sz w:val="15"/>
      <w:lang w:eastAsia="en-US"/>
    </w:rPr>
  </w:style>
  <w:style w:type="paragraph" w:customStyle="1" w:styleId="102">
    <w:name w:val="table copy"/>
    <w:uiPriority w:val="0"/>
    <w:pPr>
      <w:jc w:val="both"/>
    </w:pPr>
    <w:rPr>
      <w:rFonts w:ascii="Times New Roman" w:hAnsi="Times New Roman" w:eastAsia="SimSun" w:cs="Times New Roman"/>
      <w:sz w:val="16"/>
      <w:lang w:val="en-US" w:eastAsia="en-US" w:bidi="ar-SA"/>
    </w:rPr>
  </w:style>
  <w:style w:type="paragraph" w:customStyle="1" w:styleId="103">
    <w:name w:val="table head"/>
    <w:qFormat/>
    <w:uiPriority w:val="0"/>
    <w:pPr>
      <w:numPr>
        <w:ilvl w:val="0"/>
        <w:numId w:val="3"/>
      </w:numPr>
      <w:spacing w:before="240" w:after="120" w:line="216" w:lineRule="auto"/>
      <w:jc w:val="center"/>
    </w:pPr>
    <w:rPr>
      <w:rFonts w:ascii="Times New Roman" w:hAnsi="Times New Roman" w:eastAsia="SimSun" w:cs="Times New Roman"/>
      <w:smallCaps/>
      <w:sz w:val="16"/>
      <w:lang w:val="en-US" w:eastAsia="en-US" w:bidi="ar-SA"/>
    </w:rPr>
  </w:style>
  <w:style w:type="paragraph" w:customStyle="1" w:styleId="104">
    <w:name w:val="Reference Head"/>
    <w:basedOn w:val="2"/>
    <w:uiPriority w:val="0"/>
    <w:pPr>
      <w:autoSpaceDE w:val="0"/>
      <w:autoSpaceDN w:val="0"/>
      <w:spacing w:before="240" w:after="80" w:line="240" w:lineRule="auto"/>
    </w:pPr>
    <w:rPr>
      <w:b w:val="0"/>
      <w:bCs w:val="0"/>
      <w:smallCaps/>
      <w:kern w:val="28"/>
    </w:rPr>
  </w:style>
  <w:style w:type="paragraph" w:customStyle="1" w:styleId="105">
    <w:name w:val="IEEE Reference Item"/>
    <w:basedOn w:val="1"/>
    <w:qFormat/>
    <w:uiPriority w:val="0"/>
    <w:pPr>
      <w:adjustRightInd w:val="0"/>
      <w:snapToGrid w:val="0"/>
      <w:ind w:left="360" w:hanging="360"/>
      <w:jc w:val="both"/>
    </w:pPr>
    <w:rPr>
      <w:rFonts w:eastAsia="SimSun"/>
      <w:sz w:val="16"/>
      <w:szCs w:val="24"/>
      <w:lang w:eastAsia="zh-CN"/>
    </w:rPr>
  </w:style>
  <w:style w:type="paragraph" w:customStyle="1" w:styleId="106">
    <w:name w:val="Heading 11"/>
    <w:basedOn w:val="1"/>
    <w:next w:val="1"/>
    <w:qFormat/>
    <w:uiPriority w:val="9"/>
    <w:pPr>
      <w:keepNext/>
      <w:tabs>
        <w:tab w:val="left" w:pos="720"/>
      </w:tabs>
      <w:spacing w:before="240" w:after="60"/>
      <w:ind w:left="720" w:hanging="720"/>
      <w:outlineLvl w:val="0"/>
    </w:pPr>
    <w:rPr>
      <w:rFonts w:ascii="Cambria" w:hAnsi="Cambria"/>
      <w:b/>
      <w:bCs/>
      <w:kern w:val="32"/>
      <w:sz w:val="32"/>
      <w:szCs w:val="32"/>
      <w:lang w:eastAsia="en-US"/>
    </w:rPr>
  </w:style>
  <w:style w:type="paragraph" w:customStyle="1" w:styleId="107">
    <w:name w:val="Heading 21"/>
    <w:basedOn w:val="1"/>
    <w:next w:val="1"/>
    <w:semiHidden/>
    <w:qFormat/>
    <w:uiPriority w:val="9"/>
    <w:pPr>
      <w:keepNext/>
      <w:tabs>
        <w:tab w:val="left" w:pos="1440"/>
      </w:tabs>
      <w:spacing w:before="240" w:after="60"/>
      <w:ind w:left="1440" w:hanging="720"/>
      <w:outlineLvl w:val="1"/>
    </w:pPr>
    <w:rPr>
      <w:rFonts w:ascii="Cambria" w:hAnsi="Cambria"/>
      <w:b/>
      <w:bCs/>
      <w:i/>
      <w:iCs/>
      <w:sz w:val="28"/>
      <w:szCs w:val="28"/>
      <w:lang w:eastAsia="en-US"/>
    </w:rPr>
  </w:style>
  <w:style w:type="paragraph" w:customStyle="1" w:styleId="108">
    <w:name w:val="Heading 31"/>
    <w:basedOn w:val="1"/>
    <w:next w:val="1"/>
    <w:semiHidden/>
    <w:qFormat/>
    <w:uiPriority w:val="9"/>
    <w:pPr>
      <w:keepNext/>
      <w:tabs>
        <w:tab w:val="left" w:pos="2160"/>
      </w:tabs>
      <w:spacing w:before="240" w:after="60"/>
      <w:ind w:left="2160" w:hanging="720"/>
      <w:outlineLvl w:val="2"/>
    </w:pPr>
    <w:rPr>
      <w:rFonts w:ascii="Cambria" w:hAnsi="Cambria"/>
      <w:b/>
      <w:bCs/>
      <w:sz w:val="26"/>
      <w:szCs w:val="26"/>
      <w:lang w:eastAsia="en-US"/>
    </w:rPr>
  </w:style>
  <w:style w:type="paragraph" w:customStyle="1" w:styleId="109">
    <w:name w:val="Heading 41"/>
    <w:basedOn w:val="1"/>
    <w:next w:val="1"/>
    <w:semiHidden/>
    <w:qFormat/>
    <w:uiPriority w:val="9"/>
    <w:pPr>
      <w:keepNext/>
      <w:tabs>
        <w:tab w:val="left" w:pos="2880"/>
      </w:tabs>
      <w:spacing w:before="240" w:after="60"/>
      <w:ind w:left="2880" w:hanging="720"/>
      <w:outlineLvl w:val="3"/>
    </w:pPr>
    <w:rPr>
      <w:rFonts w:ascii="Calibri" w:hAnsi="Calibri"/>
      <w:b/>
      <w:bCs/>
      <w:sz w:val="28"/>
      <w:szCs w:val="28"/>
      <w:lang w:eastAsia="en-US"/>
    </w:rPr>
  </w:style>
  <w:style w:type="paragraph" w:customStyle="1" w:styleId="110">
    <w:name w:val="Heading 51"/>
    <w:basedOn w:val="1"/>
    <w:next w:val="1"/>
    <w:semiHidden/>
    <w:qFormat/>
    <w:uiPriority w:val="9"/>
    <w:pPr>
      <w:tabs>
        <w:tab w:val="left" w:pos="3600"/>
      </w:tabs>
      <w:spacing w:before="240" w:after="60"/>
      <w:ind w:left="3600" w:hanging="720"/>
      <w:outlineLvl w:val="4"/>
    </w:pPr>
    <w:rPr>
      <w:rFonts w:ascii="Calibri" w:hAnsi="Calibri"/>
      <w:b/>
      <w:bCs/>
      <w:i/>
      <w:iCs/>
      <w:sz w:val="26"/>
      <w:szCs w:val="26"/>
      <w:lang w:eastAsia="en-US"/>
    </w:rPr>
  </w:style>
  <w:style w:type="paragraph" w:customStyle="1" w:styleId="111">
    <w:name w:val="Heading 71"/>
    <w:basedOn w:val="1"/>
    <w:next w:val="1"/>
    <w:semiHidden/>
    <w:qFormat/>
    <w:uiPriority w:val="9"/>
    <w:pPr>
      <w:tabs>
        <w:tab w:val="left" w:pos="5040"/>
      </w:tabs>
      <w:spacing w:before="240" w:after="60"/>
      <w:ind w:left="5040" w:hanging="720"/>
      <w:outlineLvl w:val="6"/>
    </w:pPr>
    <w:rPr>
      <w:rFonts w:ascii="Calibri" w:hAnsi="Calibri"/>
      <w:sz w:val="24"/>
      <w:szCs w:val="24"/>
      <w:lang w:eastAsia="en-US"/>
    </w:rPr>
  </w:style>
  <w:style w:type="paragraph" w:customStyle="1" w:styleId="112">
    <w:name w:val="Heading 81"/>
    <w:basedOn w:val="1"/>
    <w:next w:val="1"/>
    <w:semiHidden/>
    <w:qFormat/>
    <w:uiPriority w:val="9"/>
    <w:pPr>
      <w:tabs>
        <w:tab w:val="left" w:pos="5760"/>
      </w:tabs>
      <w:spacing w:before="240" w:after="60"/>
      <w:ind w:left="5760" w:hanging="720"/>
      <w:outlineLvl w:val="7"/>
    </w:pPr>
    <w:rPr>
      <w:rFonts w:ascii="Calibri" w:hAnsi="Calibri"/>
      <w:i/>
      <w:iCs/>
      <w:sz w:val="24"/>
      <w:szCs w:val="24"/>
      <w:lang w:eastAsia="en-US"/>
    </w:rPr>
  </w:style>
  <w:style w:type="paragraph" w:customStyle="1" w:styleId="113">
    <w:name w:val="Heading 91"/>
    <w:basedOn w:val="1"/>
    <w:next w:val="1"/>
    <w:semiHidden/>
    <w:qFormat/>
    <w:uiPriority w:val="9"/>
    <w:pPr>
      <w:tabs>
        <w:tab w:val="left" w:pos="6480"/>
      </w:tabs>
      <w:spacing w:before="240" w:after="60"/>
      <w:ind w:left="6480" w:hanging="720"/>
      <w:outlineLvl w:val="8"/>
    </w:pPr>
    <w:rPr>
      <w:rFonts w:ascii="Cambria" w:hAnsi="Cambria"/>
      <w:sz w:val="22"/>
      <w:szCs w:val="22"/>
      <w:lang w:eastAsia="en-US"/>
    </w:rPr>
  </w:style>
  <w:style w:type="character" w:customStyle="1" w:styleId="114">
    <w:name w:val="Char Char"/>
    <w:uiPriority w:val="0"/>
    <w:rPr>
      <w:rFonts w:hint="default" w:ascii="Courier New" w:hAnsi="Courier New" w:eastAsia="BatangChe" w:cs="Courier New"/>
      <w:sz w:val="24"/>
      <w:szCs w:val="24"/>
      <w:lang w:val="en-US" w:eastAsia="en-US"/>
    </w:rPr>
  </w:style>
  <w:style w:type="character" w:customStyle="1" w:styleId="115">
    <w:name w:val="short_text"/>
    <w:basedOn w:val="11"/>
    <w:qFormat/>
    <w:uiPriority w:val="0"/>
  </w:style>
  <w:style w:type="character" w:customStyle="1" w:styleId="116">
    <w:name w:val="apple-style-span"/>
    <w:basedOn w:val="11"/>
    <w:qFormat/>
    <w:uiPriority w:val="0"/>
  </w:style>
  <w:style w:type="character" w:customStyle="1" w:styleId="117">
    <w:name w:val="apple-converted-space"/>
    <w:basedOn w:val="11"/>
    <w:uiPriority w:val="0"/>
  </w:style>
  <w:style w:type="character" w:customStyle="1" w:styleId="118">
    <w:name w:val="atn"/>
    <w:basedOn w:val="11"/>
    <w:uiPriority w:val="0"/>
  </w:style>
  <w:style w:type="character" w:customStyle="1" w:styleId="119">
    <w:name w:val="Heading 1 Char1"/>
    <w:uiPriority w:val="9"/>
    <w:rPr>
      <w:rFonts w:hint="default" w:ascii="Cambria" w:hAnsi="Cambria" w:eastAsia="Times New Roman" w:cs="Times New Roman"/>
      <w:b/>
      <w:bCs/>
      <w:color w:val="365F91"/>
      <w:sz w:val="28"/>
      <w:szCs w:val="28"/>
    </w:rPr>
  </w:style>
  <w:style w:type="character" w:customStyle="1" w:styleId="120">
    <w:name w:val="Heading 2 Char1"/>
    <w:semiHidden/>
    <w:qFormat/>
    <w:uiPriority w:val="9"/>
    <w:rPr>
      <w:rFonts w:hint="default" w:ascii="Cambria" w:hAnsi="Cambria" w:eastAsia="Times New Roman" w:cs="Times New Roman"/>
      <w:b/>
      <w:bCs/>
      <w:color w:val="4F81BD"/>
      <w:sz w:val="26"/>
      <w:szCs w:val="26"/>
    </w:rPr>
  </w:style>
  <w:style w:type="character" w:customStyle="1" w:styleId="121">
    <w:name w:val="Heading 3 Char1"/>
    <w:semiHidden/>
    <w:uiPriority w:val="9"/>
    <w:rPr>
      <w:rFonts w:hint="default" w:ascii="Cambria" w:hAnsi="Cambria" w:eastAsia="Times New Roman" w:cs="Times New Roman"/>
      <w:b/>
      <w:bCs/>
      <w:color w:val="4F81BD"/>
    </w:rPr>
  </w:style>
  <w:style w:type="character" w:customStyle="1" w:styleId="122">
    <w:name w:val="Heading 4 Char1"/>
    <w:semiHidden/>
    <w:uiPriority w:val="9"/>
    <w:rPr>
      <w:rFonts w:hint="default" w:ascii="Cambria" w:hAnsi="Cambria" w:eastAsia="Times New Roman" w:cs="Times New Roman"/>
      <w:b/>
      <w:bCs/>
      <w:i/>
      <w:iCs/>
      <w:color w:val="4F81BD"/>
    </w:rPr>
  </w:style>
  <w:style w:type="character" w:customStyle="1" w:styleId="123">
    <w:name w:val="Heading 5 Char1"/>
    <w:semiHidden/>
    <w:uiPriority w:val="9"/>
    <w:rPr>
      <w:rFonts w:hint="default" w:ascii="Cambria" w:hAnsi="Cambria" w:eastAsia="Times New Roman" w:cs="Times New Roman"/>
      <w:color w:val="243F60"/>
    </w:rPr>
  </w:style>
  <w:style w:type="character" w:customStyle="1" w:styleId="124">
    <w:name w:val="Heading 7 Char1"/>
    <w:semiHidden/>
    <w:uiPriority w:val="9"/>
    <w:rPr>
      <w:rFonts w:hint="default" w:ascii="Cambria" w:hAnsi="Cambria" w:eastAsia="Times New Roman" w:cs="Times New Roman"/>
      <w:i/>
      <w:iCs/>
      <w:color w:val="404040"/>
    </w:rPr>
  </w:style>
  <w:style w:type="character" w:customStyle="1" w:styleId="125">
    <w:name w:val="Heading 8 Char1"/>
    <w:semiHidden/>
    <w:uiPriority w:val="9"/>
    <w:rPr>
      <w:rFonts w:hint="default" w:ascii="Cambria" w:hAnsi="Cambria" w:eastAsia="Times New Roman" w:cs="Times New Roman"/>
      <w:color w:val="404040"/>
      <w:sz w:val="20"/>
      <w:szCs w:val="20"/>
    </w:rPr>
  </w:style>
  <w:style w:type="character" w:customStyle="1" w:styleId="126">
    <w:name w:val="Heading 9 Char1"/>
    <w:semiHidden/>
    <w:qFormat/>
    <w:uiPriority w:val="9"/>
    <w:rPr>
      <w:rFonts w:hint="default" w:ascii="Cambria" w:hAnsi="Cambria" w:eastAsia="Times New Roman" w:cs="Times New Roman"/>
      <w:i/>
      <w:iCs/>
      <w:color w:val="404040"/>
      <w:sz w:val="20"/>
      <w:szCs w:val="20"/>
    </w:rPr>
  </w:style>
  <w:style w:type="character" w:customStyle="1" w:styleId="127">
    <w:name w:val="List Paragraph Char"/>
    <w:link w:val="38"/>
    <w:locked/>
    <w:uiPriority w:val="34"/>
    <w:rPr>
      <w:rFonts w:ascii="Times New Roman" w:hAnsi="Times New Roman" w:eastAsia="Times New Roman" w:cs="Times New Roman"/>
      <w:sz w:val="24"/>
      <w:szCs w:val="24"/>
      <w:lang w:val="en-US" w:eastAsia="en-US"/>
    </w:rPr>
  </w:style>
  <w:style w:type="character" w:customStyle="1" w:styleId="128">
    <w:name w:val="fontstyle01"/>
    <w:basedOn w:val="11"/>
    <w:uiPriority w:val="0"/>
    <w:rPr>
      <w:rFonts w:hint="default" w:ascii="Times New Roman" w:hAnsi="Times New Roman" w:cs="Times New Roman"/>
      <w:color w:val="000000"/>
      <w:sz w:val="22"/>
      <w:szCs w:val="22"/>
    </w:rPr>
  </w:style>
  <w:style w:type="paragraph" w:customStyle="1" w:styleId="129">
    <w:name w:val="List Paragraph1"/>
    <w:basedOn w:val="1"/>
    <w:qFormat/>
    <w:uiPriority w:val="34"/>
    <w:pPr>
      <w:spacing w:after="200" w:line="276" w:lineRule="auto"/>
      <w:ind w:left="720"/>
      <w:contextualSpacing/>
    </w:pPr>
    <w:rPr>
      <w:rFonts w:ascii="Calibri" w:hAnsi="Calibri" w:eastAsia="Calibri"/>
      <w:sz w:val="22"/>
      <w:szCs w:val="22"/>
      <w:lang w:eastAsia="en-US"/>
    </w:rPr>
  </w:style>
  <w:style w:type="character" w:customStyle="1" w:styleId="130">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AACE1-0BF3-446A-AB9D-8844B1F464DD}">
  <ds:schemaRefs/>
</ds:datastoreItem>
</file>

<file path=docProps/app.xml><?xml version="1.0" encoding="utf-8"?>
<Properties xmlns="http://schemas.openxmlformats.org/officeDocument/2006/extended-properties" xmlns:vt="http://schemas.openxmlformats.org/officeDocument/2006/docPropsVTypes">
  <Template>Normal</Template>
  <Pages>14</Pages>
  <Words>4545</Words>
  <Characters>25907</Characters>
  <Lines>215</Lines>
  <Paragraphs>60</Paragraphs>
  <TotalTime>23</TotalTime>
  <ScaleCrop>false</ScaleCrop>
  <LinksUpToDate>false</LinksUpToDate>
  <CharactersWithSpaces>30392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2024-12-26T10:49:00Z</dcterms:created>
  <dc:creator>ASUS</dc:creator>
  <cp:lastModifiedBy>ogik.tya</cp:lastModifiedBy>
  <dcterms:modified xsi:type="dcterms:W3CDTF">2024-12-31T04:41:45Z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7903259FD69A4483B880C858FABC060D_12</vt:lpwstr>
  </property>
</Properties>
</file>